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29D96A38" w14:textId="77777777">
        <w:trPr>
          <w:trHeight w:hRule="exact" w:val="600"/>
        </w:trPr>
        <w:tc>
          <w:tcPr>
            <w:tcW w:w="3576" w:type="dxa"/>
          </w:tcPr>
          <w:p w14:paraId="06853148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3EC03C79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6FDCB2F7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A92BD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766C0A70" w14:textId="77777777" w:rsidR="007F0B73" w:rsidRPr="00970B53" w:rsidRDefault="007F0B73" w:rsidP="00E926E7">
            <w:pPr>
              <w:pStyle w:val="CellText"/>
              <w:numPr>
                <w:ilvl w:val="0"/>
                <w:numId w:val="28"/>
              </w:numPr>
              <w:ind w:left="1080" w:hanging="720"/>
            </w:pPr>
            <w:bookmarkStart w:id="0" w:name="StartPosCode"/>
            <w:bookmarkEnd w:id="0"/>
          </w:p>
        </w:tc>
      </w:tr>
      <w:tr w:rsidR="007F0B73" w:rsidRPr="00970B53" w14:paraId="3DB0D196" w14:textId="77777777">
        <w:tc>
          <w:tcPr>
            <w:tcW w:w="3576" w:type="dxa"/>
          </w:tcPr>
          <w:p w14:paraId="14CCAB35" w14:textId="77777777" w:rsidR="007F0B73" w:rsidRPr="00970B53" w:rsidRDefault="007F0B73"/>
        </w:tc>
        <w:tc>
          <w:tcPr>
            <w:tcW w:w="3576" w:type="dxa"/>
          </w:tcPr>
          <w:p w14:paraId="0AD0C0F6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05875365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3396FBBF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42448EC0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5B2536B6" w14:textId="77777777" w:rsidR="007F0B73" w:rsidRPr="00970B53" w:rsidRDefault="007F0B73"/>
        </w:tc>
      </w:tr>
      <w:tr w:rsidR="007F0B73" w:rsidRPr="00970B53" w14:paraId="13C96166" w14:textId="77777777">
        <w:tc>
          <w:tcPr>
            <w:tcW w:w="3576" w:type="dxa"/>
          </w:tcPr>
          <w:p w14:paraId="43654FCB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20B2F298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0C116E83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2FAA364F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970B53" w14:paraId="7D99575A" w14:textId="77777777" w:rsidTr="00323A0A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2FF24DA4" w14:textId="77777777" w:rsidR="007F0B73" w:rsidRPr="00970B53" w:rsidRDefault="007F0B73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 w:rsidR="004E5015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 w:rsidR="00B95798"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 w:rsidR="00004B4B"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 w:rsidR="00004B4B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 </w:t>
            </w:r>
          </w:p>
        </w:tc>
      </w:tr>
      <w:tr w:rsidR="00323A0A" w:rsidRPr="00970B53" w14:paraId="7978BAE0" w14:textId="77777777" w:rsidTr="00EF4971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7EB92289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1F6ED1F1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733E4138" w14:textId="77777777" w:rsidTr="00F272B5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</w:tcPr>
          <w:p w14:paraId="27A629A6" w14:textId="77777777" w:rsidR="00323A0A" w:rsidRPr="00970B53" w:rsidRDefault="00323A0A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2C988BF7" w14:textId="4F026021" w:rsidR="00323A0A" w:rsidRPr="00970B53" w:rsidRDefault="001D2387" w:rsidP="00EF4971">
            <w:pPr>
              <w:pStyle w:val="CellText"/>
              <w:ind w:left="126"/>
            </w:pPr>
            <w:r w:rsidRPr="001D2387">
              <w:t>Insurance and Financial Services</w:t>
            </w:r>
          </w:p>
        </w:tc>
      </w:tr>
      <w:tr w:rsidR="00323A0A" w:rsidRPr="00970B53" w14:paraId="3F41A050" w14:textId="77777777" w:rsidTr="00EF4971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</w:tcPr>
          <w:p w14:paraId="3658EDEA" w14:textId="58506EF1" w:rsidR="00323A0A" w:rsidRPr="00970B53" w:rsidRDefault="000C5B65" w:rsidP="00EF4971">
            <w:pPr>
              <w:pStyle w:val="CellNumber"/>
              <w:ind w:left="1080" w:hanging="900"/>
            </w:pPr>
            <w:r>
              <w:t>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0CAC0B7E" w14:textId="77777777" w:rsidR="00323A0A" w:rsidRPr="00970B53" w:rsidRDefault="00323A0A" w:rsidP="006E172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12059180" w14:textId="77777777" w:rsidTr="00F272B5">
        <w:trPr>
          <w:cantSplit/>
          <w:trHeight w:val="755"/>
        </w:trPr>
        <w:tc>
          <w:tcPr>
            <w:tcW w:w="5508" w:type="dxa"/>
            <w:tcBorders>
              <w:top w:val="dashed" w:sz="4" w:space="0" w:color="auto"/>
            </w:tcBorders>
          </w:tcPr>
          <w:p w14:paraId="53AFF819" w14:textId="3A4B5FFA" w:rsidR="00323A0A" w:rsidRPr="001D2387" w:rsidRDefault="00323A0A" w:rsidP="002A18A0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20CDCB86" w14:textId="77777777" w:rsidR="00323A0A" w:rsidRPr="00970B53" w:rsidRDefault="00323A0A" w:rsidP="00EF4971">
            <w:pPr>
              <w:pStyle w:val="CellNumber"/>
              <w:tabs>
                <w:tab w:val="clear" w:pos="450"/>
                <w:tab w:val="left" w:pos="126"/>
              </w:tabs>
              <w:ind w:hanging="320"/>
            </w:pPr>
          </w:p>
        </w:tc>
      </w:tr>
      <w:tr w:rsidR="006E172E" w:rsidRPr="00970B53" w14:paraId="5BEFB725" w14:textId="77777777" w:rsidTr="00EF4971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</w:tcPr>
          <w:p w14:paraId="7AAB895A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21C14832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0EFB5B71" w14:textId="77777777" w:rsidR="006E172E" w:rsidRPr="00970B53" w:rsidRDefault="006E172E" w:rsidP="006E172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022DAA73" w14:textId="77777777" w:rsidTr="00F272B5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</w:tcPr>
          <w:p w14:paraId="1651F005" w14:textId="2C7FB4E4" w:rsidR="006E172E" w:rsidRPr="00D913AA" w:rsidRDefault="00D913AA" w:rsidP="002A18A0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 w:rsidRPr="00D913AA">
              <w:rPr>
                <w:b w:val="0"/>
                <w:bCs/>
                <w:sz w:val="20"/>
              </w:rPr>
              <w:t>Financial Institutions Examiner-E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6071A0AB" w14:textId="11E7D67F" w:rsidR="006E172E" w:rsidRPr="00970B53" w:rsidRDefault="00F436D6" w:rsidP="00EF4971">
            <w:pPr>
              <w:pStyle w:val="CellText"/>
              <w:ind w:left="126"/>
            </w:pPr>
            <w:r>
              <w:t xml:space="preserve">Office of </w:t>
            </w:r>
            <w:r w:rsidR="006F2600">
              <w:t xml:space="preserve"> Banking</w:t>
            </w:r>
          </w:p>
        </w:tc>
      </w:tr>
      <w:tr w:rsidR="006E172E" w:rsidRPr="00970B53" w14:paraId="3FEC8803" w14:textId="77777777" w:rsidTr="00EF4971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</w:tcPr>
          <w:p w14:paraId="2CF0A797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275A0CF9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44B07104" w14:textId="77777777" w:rsidR="006E172E" w:rsidRPr="00970B53" w:rsidRDefault="006E172E" w:rsidP="006E172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6F8B99F3" w14:textId="77777777" w:rsidTr="00F272B5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</w:tcPr>
          <w:p w14:paraId="702AA198" w14:textId="31EAC5AC" w:rsidR="006E172E" w:rsidRPr="00D913AA" w:rsidRDefault="00D913AA" w:rsidP="002A18A0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 w:rsidRPr="00D913AA">
              <w:rPr>
                <w:b w:val="0"/>
                <w:bCs/>
                <w:sz w:val="20"/>
              </w:rPr>
              <w:t>Examiner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2E864180" w14:textId="77777777" w:rsidR="006E172E" w:rsidRPr="00970B53" w:rsidRDefault="006E172E" w:rsidP="00EF4971">
            <w:pPr>
              <w:pStyle w:val="CellText"/>
              <w:ind w:left="126"/>
            </w:pPr>
          </w:p>
        </w:tc>
      </w:tr>
      <w:tr w:rsidR="006E172E" w:rsidRPr="00970B53" w14:paraId="3112D12D" w14:textId="77777777" w:rsidTr="00EF4971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</w:tcPr>
          <w:p w14:paraId="599DDFEF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18A4B9F4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027E8F39" w14:textId="77777777" w:rsidR="006E172E" w:rsidRPr="00970B53" w:rsidRDefault="006E172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4C493F6B" w14:textId="77777777" w:rsidR="006E172E" w:rsidRPr="00970B53" w:rsidRDefault="006E172E">
            <w:pPr>
              <w:pStyle w:val="CellText"/>
            </w:pPr>
          </w:p>
        </w:tc>
      </w:tr>
      <w:tr w:rsidR="006E172E" w:rsidRPr="00970B53" w14:paraId="2A10339D" w14:textId="77777777" w:rsidTr="00F272B5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</w:tcPr>
          <w:p w14:paraId="39EF8C01" w14:textId="4428DD5E" w:rsidR="006E172E" w:rsidRPr="00551986" w:rsidRDefault="000340F3" w:rsidP="002A18A0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CHRISTOPHER WA</w:t>
            </w:r>
            <w:r w:rsidR="00225513">
              <w:rPr>
                <w:b w:val="0"/>
                <w:bCs/>
                <w:sz w:val="20"/>
              </w:rPr>
              <w:t>LTERS</w:t>
            </w:r>
            <w:r w:rsidR="00D913AA" w:rsidRPr="00551986">
              <w:rPr>
                <w:b w:val="0"/>
                <w:bCs/>
                <w:sz w:val="20"/>
              </w:rPr>
              <w:t>, FIM 14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35DAE857" w14:textId="77777777" w:rsidR="006E172E" w:rsidRPr="00970B53" w:rsidRDefault="006E172E" w:rsidP="00EF4971">
            <w:pPr>
              <w:pStyle w:val="CellNumber"/>
              <w:ind w:hanging="320"/>
            </w:pPr>
          </w:p>
        </w:tc>
      </w:tr>
      <w:tr w:rsidR="006E172E" w:rsidRPr="00970B53" w14:paraId="58E34AED" w14:textId="77777777" w:rsidTr="00EF4971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</w:tcPr>
          <w:p w14:paraId="4A98D7FD" w14:textId="77777777" w:rsidR="006E172E" w:rsidRPr="00970B53" w:rsidRDefault="000C5B65" w:rsidP="00EF4971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64A2E976" w14:textId="77777777" w:rsidR="006E172E" w:rsidRPr="00970B53" w:rsidRDefault="006E172E" w:rsidP="00EF4971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4F13DED3" w14:textId="77777777" w:rsidTr="00F272B5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</w:tcPr>
          <w:p w14:paraId="22BE57FE" w14:textId="3732BCEC" w:rsidR="006E172E" w:rsidRPr="00551986" w:rsidRDefault="00225513" w:rsidP="002A18A0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LISA LEINBERGER</w:t>
            </w:r>
            <w:r w:rsidR="00551986" w:rsidRPr="00551986">
              <w:rPr>
                <w:b w:val="0"/>
                <w:bCs/>
                <w:sz w:val="20"/>
              </w:rPr>
              <w:t>, FIM 15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3CC3B737" w14:textId="3F61AFF1" w:rsidR="00CB6659" w:rsidRPr="00551986" w:rsidRDefault="00551986" w:rsidP="00EF4971">
            <w:pPr>
              <w:pStyle w:val="CellNumber"/>
              <w:spacing w:after="100"/>
              <w:ind w:hanging="320"/>
              <w:rPr>
                <w:b w:val="0"/>
                <w:bCs/>
                <w:sz w:val="20"/>
              </w:rPr>
            </w:pPr>
            <w:r w:rsidRPr="00551986">
              <w:rPr>
                <w:b w:val="0"/>
                <w:bCs/>
                <w:sz w:val="20"/>
              </w:rPr>
              <w:t>Varies</w:t>
            </w:r>
          </w:p>
          <w:p w14:paraId="3B588C87" w14:textId="21A79196" w:rsidR="00CB6659" w:rsidRPr="00970B53" w:rsidRDefault="00CB6659" w:rsidP="00EF4971">
            <w:pPr>
              <w:pStyle w:val="CellNumber"/>
              <w:spacing w:after="100"/>
              <w:ind w:hanging="320"/>
            </w:pPr>
          </w:p>
        </w:tc>
      </w:tr>
      <w:tr w:rsidR="007F0B73" w:rsidRPr="00970B53" w14:paraId="77A7D8AB" w14:textId="77777777" w:rsidTr="00323A0A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48581EF1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355C255B" w14:textId="77777777" w:rsidTr="00F272B5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7D2FFF25" w14:textId="6EE99419" w:rsidR="00323A0A" w:rsidRPr="00970B53" w:rsidRDefault="00B12834" w:rsidP="00323A0A">
            <w:pPr>
              <w:pStyle w:val="CellText"/>
              <w:spacing w:after="0"/>
            </w:pPr>
            <w:r w:rsidRPr="00B12834">
              <w:t xml:space="preserve">This position conducts examinations of </w:t>
            </w:r>
            <w:r w:rsidR="006F2600">
              <w:t xml:space="preserve">banking organizations </w:t>
            </w:r>
            <w:r w:rsidRPr="00B12834">
              <w:t>and performs as Examiner-in-Charge (</w:t>
            </w:r>
            <w:r w:rsidR="00E41F2E">
              <w:t>EIC</w:t>
            </w:r>
            <w:r w:rsidRPr="00B12834">
              <w:t xml:space="preserve">) of the examination of state-chartered </w:t>
            </w:r>
            <w:r w:rsidR="006F2600">
              <w:t xml:space="preserve">banking organizations </w:t>
            </w:r>
            <w:r w:rsidR="006002D4">
              <w:t xml:space="preserve">(may include banks, savings banks, BIDCOs, trust departments, information technology departments, and bank holding companies, and affiliates) </w:t>
            </w:r>
            <w:r w:rsidRPr="00B12834">
              <w:t>as required by the Michigan</w:t>
            </w:r>
            <w:r w:rsidR="006F2600">
              <w:t xml:space="preserve"> Code of 1999, PA 276 of 1999, the Savings Bank Act, PA 354 of 1996, and the Michigan BIDCO Act, PA 89 of 1986</w:t>
            </w:r>
            <w:r w:rsidR="00ED3CB0" w:rsidRPr="00B12834">
              <w:t>.</w:t>
            </w:r>
            <w:r w:rsidR="00ED3CB0">
              <w:t xml:space="preserve"> These</w:t>
            </w:r>
            <w:r w:rsidR="00E41F2E">
              <w:t xml:space="preserve"> </w:t>
            </w:r>
            <w:r w:rsidR="006D4662">
              <w:t xml:space="preserve">are </w:t>
            </w:r>
            <w:r w:rsidR="002B1322" w:rsidRPr="00EB07DC">
              <w:rPr>
                <w:rFonts w:cs="Arial"/>
              </w:rPr>
              <w:t xml:space="preserve">the most basic, non-complex </w:t>
            </w:r>
            <w:r w:rsidR="006F2600">
              <w:rPr>
                <w:rFonts w:cs="Arial"/>
              </w:rPr>
              <w:t xml:space="preserve">banking organization </w:t>
            </w:r>
            <w:r w:rsidR="002B1322" w:rsidRPr="00EB07DC">
              <w:rPr>
                <w:rFonts w:cs="Arial"/>
              </w:rPr>
              <w:t>examinations.</w:t>
            </w:r>
            <w:r w:rsidR="002B1322">
              <w:rPr>
                <w:rFonts w:cs="Arial"/>
              </w:rPr>
              <w:t xml:space="preserve"> The</w:t>
            </w:r>
            <w:r w:rsidR="00CB4D53">
              <w:rPr>
                <w:rFonts w:cs="Arial"/>
              </w:rPr>
              <w:t>se</w:t>
            </w:r>
            <w:r w:rsidR="006A3E76">
              <w:rPr>
                <w:rFonts w:cs="Arial"/>
              </w:rPr>
              <w:t xml:space="preserve"> institutions have </w:t>
            </w:r>
            <w:r w:rsidR="00FD2450" w:rsidRPr="00EB07DC">
              <w:rPr>
                <w:rFonts w:cs="Arial"/>
              </w:rPr>
              <w:t>little</w:t>
            </w:r>
            <w:r w:rsidR="00AC5559" w:rsidRPr="00EB07DC">
              <w:rPr>
                <w:rFonts w:cs="Arial"/>
              </w:rPr>
              <w:t xml:space="preserve"> to no prior examination findings;</w:t>
            </w:r>
            <w:r w:rsidR="001B0D1D">
              <w:rPr>
                <w:rFonts w:cs="Arial"/>
              </w:rPr>
              <w:t xml:space="preserve"> </w:t>
            </w:r>
            <w:r w:rsidR="001B0D1D" w:rsidRPr="00EB07DC">
              <w:rPr>
                <w:rFonts w:cs="Arial"/>
              </w:rPr>
              <w:t>the level of examination findings would typically be minimal comprising one to two pages of lower risk items identified by the exam staff</w:t>
            </w:r>
            <w:r w:rsidR="00211A92">
              <w:rPr>
                <w:rFonts w:cs="Arial"/>
              </w:rPr>
              <w:t xml:space="preserve">. </w:t>
            </w:r>
            <w:r w:rsidR="00414B59">
              <w:rPr>
                <w:rFonts w:cs="Arial"/>
              </w:rPr>
              <w:t>The financial institutions have</w:t>
            </w:r>
            <w:r w:rsidR="00AC5559" w:rsidRPr="00EB07DC">
              <w:rPr>
                <w:rFonts w:cs="Arial"/>
              </w:rPr>
              <w:t xml:space="preserve"> </w:t>
            </w:r>
            <w:r w:rsidR="00ED3CB0">
              <w:rPr>
                <w:rFonts w:cs="Arial"/>
              </w:rPr>
              <w:t>s</w:t>
            </w:r>
            <w:r w:rsidR="00ED3CB0" w:rsidRPr="00EB07DC">
              <w:rPr>
                <w:rFonts w:cs="Arial"/>
              </w:rPr>
              <w:t>atisfactory ratings</w:t>
            </w:r>
            <w:r w:rsidR="005B238B">
              <w:rPr>
                <w:rFonts w:cs="Arial"/>
              </w:rPr>
              <w:t xml:space="preserve"> </w:t>
            </w:r>
            <w:r w:rsidR="00E77F41" w:rsidRPr="00EB07DC">
              <w:rPr>
                <w:rFonts w:cs="Arial"/>
              </w:rPr>
              <w:t>(possible minor infractions)</w:t>
            </w:r>
            <w:r w:rsidR="001B3028">
              <w:rPr>
                <w:rFonts w:cs="Arial"/>
              </w:rPr>
              <w:t>,</w:t>
            </w:r>
            <w:r w:rsidR="00422976">
              <w:rPr>
                <w:rFonts w:cs="Arial"/>
              </w:rPr>
              <w:t xml:space="preserve"> s</w:t>
            </w:r>
            <w:r w:rsidR="001B3028" w:rsidRPr="00EB07DC">
              <w:rPr>
                <w:rFonts w:cs="Arial"/>
              </w:rPr>
              <w:t xml:space="preserve">atisfactory to strong </w:t>
            </w:r>
            <w:r w:rsidR="00184CDF">
              <w:rPr>
                <w:rFonts w:cs="Arial"/>
              </w:rPr>
              <w:t>capital</w:t>
            </w:r>
            <w:r w:rsidR="00CB4D53">
              <w:rPr>
                <w:rFonts w:cs="Arial"/>
              </w:rPr>
              <w:t>,</w:t>
            </w:r>
            <w:r w:rsidR="001B3028" w:rsidRPr="00EB07DC">
              <w:rPr>
                <w:rFonts w:cs="Arial"/>
              </w:rPr>
              <w:t xml:space="preserve"> and earnings greater than 10.00% of total assets and 1.00% of average assets</w:t>
            </w:r>
            <w:r w:rsidR="00FC001E">
              <w:rPr>
                <w:rFonts w:cs="Arial"/>
              </w:rPr>
              <w:t>.</w:t>
            </w:r>
            <w:r w:rsidR="00047114">
              <w:rPr>
                <w:rFonts w:cs="Arial"/>
              </w:rPr>
              <w:t xml:space="preserve"> </w:t>
            </w:r>
            <w:r w:rsidR="00422976">
              <w:rPr>
                <w:rFonts w:cs="Arial"/>
              </w:rPr>
              <w:t xml:space="preserve">They </w:t>
            </w:r>
            <w:r w:rsidR="00047114">
              <w:rPr>
                <w:rFonts w:cs="Arial"/>
              </w:rPr>
              <w:t xml:space="preserve">have </w:t>
            </w:r>
            <w:r w:rsidR="00FC001E" w:rsidRPr="00EB07DC">
              <w:rPr>
                <w:rFonts w:cs="Arial"/>
              </w:rPr>
              <w:t>smaller</w:t>
            </w:r>
            <w:r w:rsidR="00047114" w:rsidRPr="00EB07DC">
              <w:rPr>
                <w:rFonts w:cs="Arial"/>
              </w:rPr>
              <w:t xml:space="preserve"> asset </w:t>
            </w:r>
            <w:proofErr w:type="gramStart"/>
            <w:r w:rsidR="00047114" w:rsidRPr="00EB07DC">
              <w:rPr>
                <w:rFonts w:cs="Arial"/>
              </w:rPr>
              <w:t>size</w:t>
            </w:r>
            <w:proofErr w:type="gramEnd"/>
            <w:r w:rsidR="00047114" w:rsidRPr="00EB07DC">
              <w:rPr>
                <w:rFonts w:cs="Arial"/>
              </w:rPr>
              <w:t xml:space="preserve"> typically of less than $500 million</w:t>
            </w:r>
            <w:r w:rsidR="00047114">
              <w:rPr>
                <w:rFonts w:cs="Arial"/>
              </w:rPr>
              <w:t>,</w:t>
            </w:r>
            <w:r w:rsidR="00422976">
              <w:rPr>
                <w:rFonts w:cs="Arial"/>
              </w:rPr>
              <w:t xml:space="preserve"> </w:t>
            </w:r>
            <w:r w:rsidR="00FC001E">
              <w:rPr>
                <w:rFonts w:cs="Arial"/>
              </w:rPr>
              <w:t>l</w:t>
            </w:r>
            <w:r w:rsidR="00F05D8C" w:rsidRPr="00EB07DC">
              <w:rPr>
                <w:rFonts w:cs="Arial"/>
              </w:rPr>
              <w:t>imited product/service offerings</w:t>
            </w:r>
            <w:r w:rsidR="00CB4D53">
              <w:rPr>
                <w:rFonts w:cs="Arial"/>
              </w:rPr>
              <w:t xml:space="preserve"> and transaction volume/size</w:t>
            </w:r>
            <w:r w:rsidR="00F05D8C" w:rsidRPr="00EB07DC">
              <w:rPr>
                <w:rFonts w:cs="Arial"/>
              </w:rPr>
              <w:t xml:space="preserve">, </w:t>
            </w:r>
            <w:r w:rsidR="00CB4D53">
              <w:rPr>
                <w:rFonts w:cs="Arial"/>
              </w:rPr>
              <w:t>typical product offerings are</w:t>
            </w:r>
            <w:r w:rsidR="003165E8">
              <w:rPr>
                <w:rFonts w:cs="Arial"/>
              </w:rPr>
              <w:t xml:space="preserve"> </w:t>
            </w:r>
            <w:r w:rsidR="00F05D8C" w:rsidRPr="00EB07DC">
              <w:rPr>
                <w:rFonts w:cs="Arial"/>
              </w:rPr>
              <w:t xml:space="preserve">consumer loans (e.g.-auto, credit card, real estate) along with </w:t>
            </w:r>
            <w:r w:rsidR="00DB5EAC">
              <w:rPr>
                <w:rFonts w:cs="Arial"/>
              </w:rPr>
              <w:t>non-</w:t>
            </w:r>
            <w:r w:rsidR="00F05D8C" w:rsidRPr="00EB07DC">
              <w:rPr>
                <w:rFonts w:cs="Arial"/>
              </w:rPr>
              <w:t>complex commercial loans (e.g.-commercial real estate)</w:t>
            </w:r>
            <w:r w:rsidR="00F05D8C">
              <w:rPr>
                <w:rFonts w:cs="Arial"/>
              </w:rPr>
              <w:t xml:space="preserve">, and </w:t>
            </w:r>
            <w:r w:rsidR="009612B2">
              <w:rPr>
                <w:rFonts w:cs="Arial"/>
              </w:rPr>
              <w:t>e</w:t>
            </w:r>
            <w:r w:rsidR="009612B2" w:rsidRPr="00EB07DC">
              <w:rPr>
                <w:rFonts w:cs="Arial"/>
              </w:rPr>
              <w:t>xperienced and effective management teams</w:t>
            </w:r>
            <w:r w:rsidR="00947D72">
              <w:rPr>
                <w:rFonts w:cs="Arial"/>
              </w:rPr>
              <w:t xml:space="preserve">. </w:t>
            </w:r>
            <w:r w:rsidR="00947D72" w:rsidRPr="00EB07DC">
              <w:rPr>
                <w:rFonts w:cs="Arial"/>
              </w:rPr>
              <w:t>Assigned team members depend on the non-complexity/complexity of the exam.</w:t>
            </w:r>
            <w:r w:rsidR="00047114">
              <w:rPr>
                <w:rFonts w:cs="Arial"/>
              </w:rPr>
              <w:t xml:space="preserve"> </w:t>
            </w:r>
          </w:p>
        </w:tc>
      </w:tr>
      <w:tr w:rsidR="007F0B73" w:rsidRPr="00970B53" w14:paraId="68B99D91" w14:textId="77777777">
        <w:tc>
          <w:tcPr>
            <w:tcW w:w="10728" w:type="dxa"/>
            <w:gridSpan w:val="2"/>
          </w:tcPr>
          <w:p w14:paraId="2B11D1BA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65A792DA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0BE1E9A2" w14:textId="77777777">
        <w:trPr>
          <w:trHeight w:val="1960"/>
        </w:trPr>
        <w:tc>
          <w:tcPr>
            <w:tcW w:w="10728" w:type="dxa"/>
            <w:gridSpan w:val="2"/>
          </w:tcPr>
          <w:p w14:paraId="33DEC4DA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1</w:t>
            </w:r>
          </w:p>
          <w:p w14:paraId="0432BEBC" w14:textId="0E27C1C2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>% of Time</w:t>
            </w:r>
            <w:r w:rsidR="00CB6659">
              <w:rPr>
                <w:b/>
              </w:rPr>
              <w:t xml:space="preserve"> </w:t>
            </w:r>
            <w:r w:rsidR="00A81FD4">
              <w:rPr>
                <w:b/>
                <w:u w:val="single"/>
              </w:rPr>
              <w:t>70</w:t>
            </w:r>
          </w:p>
          <w:p w14:paraId="29CBD61D" w14:textId="19F7E55A" w:rsidR="007F0B73" w:rsidRPr="00970B53" w:rsidRDefault="00DF542A">
            <w:pPr>
              <w:pStyle w:val="DutyText"/>
            </w:pPr>
            <w:r>
              <w:t>S</w:t>
            </w:r>
            <w:r w:rsidRPr="00DF542A">
              <w:t xml:space="preserve">erves as a member of an examination team to conduct </w:t>
            </w:r>
            <w:r w:rsidR="00BD1C27">
              <w:t xml:space="preserve">the most basic, non-complex </w:t>
            </w:r>
            <w:r w:rsidRPr="00DF542A">
              <w:t xml:space="preserve">on-site examinations of </w:t>
            </w:r>
            <w:r w:rsidR="000B060D" w:rsidRPr="00DF542A">
              <w:t>state-chartered</w:t>
            </w:r>
            <w:r w:rsidRPr="00DF542A">
              <w:t xml:space="preserve"> </w:t>
            </w:r>
            <w:r w:rsidR="00C92CD6">
              <w:t xml:space="preserve">banking organizations </w:t>
            </w:r>
            <w:r w:rsidRPr="00DF542A">
              <w:t xml:space="preserve">to determine their financial condition and to ensure they are operating in a safe and sound manner and in accordance with state and federal statutes. </w:t>
            </w:r>
            <w:r w:rsidR="00CB4D53">
              <w:t xml:space="preserve">These institutions </w:t>
            </w:r>
            <w:r w:rsidR="00CB4D53">
              <w:rPr>
                <w:rFonts w:cs="Arial"/>
              </w:rPr>
              <w:t xml:space="preserve">have </w:t>
            </w:r>
            <w:r w:rsidR="00CB4D53" w:rsidRPr="00EB07DC">
              <w:rPr>
                <w:rFonts w:cs="Arial"/>
              </w:rPr>
              <w:t>little to no prior examination findings</w:t>
            </w:r>
            <w:r w:rsidR="0057715A">
              <w:rPr>
                <w:rFonts w:cs="Arial"/>
              </w:rPr>
              <w:t>,</w:t>
            </w:r>
            <w:r w:rsidR="00CB4D53" w:rsidRPr="00EB07DC">
              <w:rPr>
                <w:rFonts w:cs="Arial"/>
              </w:rPr>
              <w:t xml:space="preserve"> </w:t>
            </w:r>
            <w:r w:rsidR="00CB4D53">
              <w:rPr>
                <w:rFonts w:cs="Arial"/>
              </w:rPr>
              <w:t>s</w:t>
            </w:r>
            <w:r w:rsidR="00CB4D53" w:rsidRPr="00EB07DC">
              <w:rPr>
                <w:rFonts w:cs="Arial"/>
              </w:rPr>
              <w:t>atisfactory ratings</w:t>
            </w:r>
            <w:r w:rsidR="00CB4D53">
              <w:rPr>
                <w:rFonts w:cs="Arial"/>
              </w:rPr>
              <w:t>, s</w:t>
            </w:r>
            <w:r w:rsidR="00CB4D53" w:rsidRPr="00EB07DC">
              <w:rPr>
                <w:rFonts w:cs="Arial"/>
              </w:rPr>
              <w:t xml:space="preserve">atisfactory to strong </w:t>
            </w:r>
            <w:r w:rsidR="00DB5EAC">
              <w:rPr>
                <w:rFonts w:cs="Arial"/>
              </w:rPr>
              <w:t>capital</w:t>
            </w:r>
            <w:r w:rsidR="0057715A">
              <w:rPr>
                <w:rFonts w:cs="Arial"/>
              </w:rPr>
              <w:t>,</w:t>
            </w:r>
            <w:r w:rsidR="00CB4D53">
              <w:rPr>
                <w:rFonts w:cs="Arial"/>
              </w:rPr>
              <w:t xml:space="preserve"> </w:t>
            </w:r>
            <w:r w:rsidR="00CB4D53" w:rsidRPr="00EB07DC">
              <w:rPr>
                <w:rFonts w:cs="Arial"/>
              </w:rPr>
              <w:t>smaller asset size</w:t>
            </w:r>
            <w:r w:rsidR="0057715A">
              <w:rPr>
                <w:rFonts w:cs="Arial"/>
              </w:rPr>
              <w:t xml:space="preserve">, </w:t>
            </w:r>
            <w:r w:rsidR="00CB4D53">
              <w:rPr>
                <w:rFonts w:cs="Arial"/>
              </w:rPr>
              <w:t>l</w:t>
            </w:r>
            <w:r w:rsidR="00CB4D53" w:rsidRPr="00EB07DC">
              <w:rPr>
                <w:rFonts w:cs="Arial"/>
              </w:rPr>
              <w:t>imited product/service offerings</w:t>
            </w:r>
            <w:r w:rsidR="0057715A">
              <w:rPr>
                <w:rFonts w:cs="Arial"/>
              </w:rPr>
              <w:t xml:space="preserve"> and transaction volume/size</w:t>
            </w:r>
            <w:r w:rsidR="00CB4D53" w:rsidRPr="00EB07DC">
              <w:rPr>
                <w:rFonts w:cs="Arial"/>
              </w:rPr>
              <w:t>,</w:t>
            </w:r>
            <w:r w:rsidR="0057715A">
              <w:rPr>
                <w:rFonts w:cs="Arial"/>
              </w:rPr>
              <w:t xml:space="preserve"> </w:t>
            </w:r>
            <w:r w:rsidR="00CB4D53">
              <w:rPr>
                <w:rFonts w:cs="Arial"/>
              </w:rPr>
              <w:t>and e</w:t>
            </w:r>
            <w:r w:rsidR="00CB4D53" w:rsidRPr="00EB07DC">
              <w:rPr>
                <w:rFonts w:cs="Arial"/>
              </w:rPr>
              <w:t>xperienced and effective management teams.</w:t>
            </w:r>
          </w:p>
        </w:tc>
      </w:tr>
      <w:tr w:rsidR="007F0B73" w:rsidRPr="00970B53" w14:paraId="4310E1C6" w14:textId="77777777">
        <w:trPr>
          <w:trHeight w:val="4200"/>
        </w:trPr>
        <w:tc>
          <w:tcPr>
            <w:tcW w:w="10728" w:type="dxa"/>
            <w:gridSpan w:val="2"/>
          </w:tcPr>
          <w:p w14:paraId="74CCB02F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58E4FD08" w14:textId="7CA8D8D3" w:rsidR="001B720B" w:rsidRDefault="001B720B" w:rsidP="001B720B">
            <w:pPr>
              <w:pStyle w:val="DutyText"/>
              <w:numPr>
                <w:ilvl w:val="0"/>
                <w:numId w:val="22"/>
              </w:numPr>
            </w:pPr>
            <w:r>
              <w:t>Performs analyses and recommends ratings of financial institutions’ overall performance regarding capital adequacy, asset quality, earnings, liquidity, sensitivity, compliance with legal and management requirements, etc.</w:t>
            </w:r>
          </w:p>
          <w:p w14:paraId="3E2F03FC" w14:textId="4A8186FC" w:rsidR="001B720B" w:rsidRDefault="001B720B" w:rsidP="001B720B">
            <w:pPr>
              <w:pStyle w:val="DutyText"/>
              <w:numPr>
                <w:ilvl w:val="0"/>
                <w:numId w:val="22"/>
              </w:numPr>
            </w:pPr>
            <w:r>
              <w:t>Reviews and analyzes financial institutions’ overall credit, liquidity, market (typically interest rate) and</w:t>
            </w:r>
            <w:r w:rsidR="0043674C">
              <w:t xml:space="preserve"> </w:t>
            </w:r>
            <w:r>
              <w:t>other risks relative to the adequacy of earnings and capital levels.</w:t>
            </w:r>
          </w:p>
          <w:p w14:paraId="74350468" w14:textId="2AA1D60E" w:rsidR="001B720B" w:rsidRDefault="001B720B" w:rsidP="001B720B">
            <w:pPr>
              <w:pStyle w:val="DutyText"/>
              <w:numPr>
                <w:ilvl w:val="0"/>
                <w:numId w:val="22"/>
              </w:numPr>
            </w:pPr>
            <w:r>
              <w:t>Evaluates performance of financial institutions’ executive management and boards of directors with</w:t>
            </w:r>
            <w:r w:rsidR="0043674C">
              <w:t xml:space="preserve"> </w:t>
            </w:r>
            <w:r>
              <w:t>emphasis on the adequacy of systems used to identify, measure, monitor, and control institutional risks,</w:t>
            </w:r>
            <w:r w:rsidR="0043674C">
              <w:t xml:space="preserve"> </w:t>
            </w:r>
            <w:r>
              <w:t>and communicates recommendations for improvement.</w:t>
            </w:r>
          </w:p>
          <w:p w14:paraId="1F91A98A" w14:textId="77777777" w:rsidR="007F0B73" w:rsidRDefault="001B720B" w:rsidP="0043674C">
            <w:pPr>
              <w:pStyle w:val="DutyText"/>
              <w:numPr>
                <w:ilvl w:val="0"/>
                <w:numId w:val="22"/>
              </w:numPr>
            </w:pPr>
            <w:r>
              <w:t xml:space="preserve">Prepares comprehensive reports on </w:t>
            </w:r>
            <w:proofErr w:type="gramStart"/>
            <w:r>
              <w:t>the safety</w:t>
            </w:r>
            <w:proofErr w:type="gramEnd"/>
            <w:r>
              <w:t xml:space="preserve"> and soundness, overall condition, risk profile, compliance</w:t>
            </w:r>
            <w:r w:rsidR="0043674C">
              <w:t xml:space="preserve"> </w:t>
            </w:r>
            <w:r>
              <w:t>with laws and regulations and/or targeted review areas.</w:t>
            </w:r>
          </w:p>
          <w:p w14:paraId="7658ADCF" w14:textId="726FF3FB" w:rsidR="0043674C" w:rsidRPr="00970B53" w:rsidRDefault="008D226D" w:rsidP="0043674C">
            <w:pPr>
              <w:pStyle w:val="DutyText"/>
              <w:numPr>
                <w:ilvl w:val="0"/>
                <w:numId w:val="22"/>
              </w:numPr>
            </w:pPr>
            <w:r w:rsidRPr="008D226D">
              <w:t xml:space="preserve">Develops recommendations for supervisory and enforcement actions to ensure the safety and soundness of a financial </w:t>
            </w:r>
            <w:proofErr w:type="gramStart"/>
            <w:r w:rsidRPr="008D226D">
              <w:t>institution, and</w:t>
            </w:r>
            <w:proofErr w:type="gramEnd"/>
            <w:r w:rsidRPr="008D226D">
              <w:t xml:space="preserve"> assesses compliance with such actions.</w:t>
            </w:r>
          </w:p>
        </w:tc>
      </w:tr>
      <w:tr w:rsidR="007F0B73" w:rsidRPr="00970B53" w14:paraId="7D40ED21" w14:textId="77777777">
        <w:trPr>
          <w:trHeight w:val="1960"/>
        </w:trPr>
        <w:tc>
          <w:tcPr>
            <w:tcW w:w="10728" w:type="dxa"/>
            <w:gridSpan w:val="2"/>
          </w:tcPr>
          <w:p w14:paraId="79B24144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467ED3D3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CB6659">
              <w:rPr>
                <w:b/>
                <w:u w:val="single"/>
              </w:rPr>
              <w:t>20</w:t>
            </w:r>
          </w:p>
          <w:p w14:paraId="291C3148" w14:textId="784F954F" w:rsidR="006766E0" w:rsidRPr="000C2F0B" w:rsidRDefault="005B207F" w:rsidP="006766E0">
            <w:pPr>
              <w:pStyle w:val="TableParagraph"/>
              <w:spacing w:before="177" w:line="181" w:lineRule="exact"/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9E004E">
              <w:rPr>
                <w:rFonts w:ascii="Times New Roman" w:hAnsi="Times New Roman" w:cs="Times New Roman"/>
                <w:sz w:val="20"/>
                <w:szCs w:val="20"/>
              </w:rPr>
              <w:t>Perform as an Examiner in Charge (EIC)</w:t>
            </w:r>
            <w:r w:rsidR="00EE5FEC" w:rsidRPr="009E0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of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4"/>
                <w:sz w:val="20"/>
                <w:szCs w:val="20"/>
              </w:rPr>
              <w:t xml:space="preserve"> </w:t>
            </w:r>
            <w:r w:rsidR="00201469" w:rsidRPr="009E004E">
              <w:rPr>
                <w:rFonts w:ascii="Times New Roman" w:hAnsi="Times New Roman" w:cs="Times New Roman"/>
                <w:color w:val="030303"/>
                <w:spacing w:val="-4"/>
                <w:sz w:val="20"/>
                <w:szCs w:val="20"/>
              </w:rPr>
              <w:t xml:space="preserve">the most basic, </w:t>
            </w:r>
            <w:r w:rsidR="00B667ED" w:rsidRPr="009E004E">
              <w:rPr>
                <w:rFonts w:ascii="Times New Roman" w:hAnsi="Times New Roman" w:cs="Times New Roman"/>
                <w:color w:val="030303"/>
                <w:spacing w:val="-4"/>
                <w:sz w:val="20"/>
                <w:szCs w:val="20"/>
              </w:rPr>
              <w:t xml:space="preserve">non-complex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on-site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3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examination</w:t>
            </w:r>
            <w:r w:rsidR="00B667ED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s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8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of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5"/>
                <w:sz w:val="20"/>
                <w:szCs w:val="20"/>
              </w:rPr>
              <w:t xml:space="preserve"> </w:t>
            </w:r>
            <w:r w:rsidR="0045162E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state</w:t>
            </w:r>
            <w:r w:rsidR="0045162E" w:rsidRPr="009E004E"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>-chartered</w:t>
            </w:r>
            <w:r w:rsidR="002E3AC2" w:rsidRPr="009E004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="00C92CD6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 xml:space="preserve">banking organizations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to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5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determine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13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their financial condition and to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1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ensure they are operating in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7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a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safe and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3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sound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1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manner and in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accordance with state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1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and</w:t>
            </w:r>
            <w:r w:rsidR="002E3AC2" w:rsidRPr="009E004E">
              <w:rPr>
                <w:rFonts w:ascii="Times New Roman" w:hAnsi="Times New Roman" w:cs="Times New Roman"/>
                <w:color w:val="030303"/>
                <w:spacing w:val="-1"/>
                <w:sz w:val="20"/>
                <w:szCs w:val="20"/>
              </w:rPr>
              <w:t xml:space="preserve"> </w:t>
            </w:r>
            <w:r w:rsidR="002E3AC2" w:rsidRPr="009E004E"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federal statutes</w:t>
            </w:r>
            <w:r w:rsidR="002E3AC2" w:rsidRPr="009E004E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.</w:t>
            </w:r>
            <w:r w:rsidR="001D5BDC" w:rsidRPr="009E004E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="006766E0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These institutions have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 </w:t>
            </w:r>
            <w:r w:rsidR="006766E0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l</w:t>
            </w:r>
            <w:r w:rsidR="006766E0" w:rsidRPr="000C2F0B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ittle to no prior examination findings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="0057715A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satisfactory ratings, 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sa</w:t>
            </w:r>
            <w:r w:rsidR="006766E0" w:rsidRPr="000C2F0B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tisfactory to strong </w:t>
            </w:r>
            <w:r w:rsidR="00DB5EAC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capital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, s</w:t>
            </w:r>
            <w:r w:rsidR="006766E0" w:rsidRPr="000C2F0B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maller asset size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, l</w:t>
            </w:r>
            <w:r w:rsidR="006766E0" w:rsidRPr="000C2F0B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imited product/service offerings and transaction volume/size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, </w:t>
            </w:r>
            <w:r w:rsidR="00E76F2A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 xml:space="preserve">and </w:t>
            </w:r>
            <w:r w:rsidR="006766E0" w:rsidRPr="0050023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e</w:t>
            </w:r>
            <w:r w:rsidR="006766E0" w:rsidRPr="000C2F0B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xperienced and effective management teams</w:t>
            </w:r>
            <w:r w:rsidR="006766E0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.</w:t>
            </w:r>
          </w:p>
          <w:p w14:paraId="0A9124E4" w14:textId="13E0A40E" w:rsidR="007F0B73" w:rsidRPr="009E004E" w:rsidRDefault="007F0B73" w:rsidP="001D5BDC">
            <w:pPr>
              <w:pStyle w:val="TableParagraph"/>
              <w:spacing w:before="177" w:line="18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B73" w:rsidRPr="00970B53" w14:paraId="5EEE933B" w14:textId="77777777">
        <w:trPr>
          <w:trHeight w:val="4200"/>
        </w:trPr>
        <w:tc>
          <w:tcPr>
            <w:tcW w:w="10728" w:type="dxa"/>
            <w:gridSpan w:val="2"/>
          </w:tcPr>
          <w:p w14:paraId="3ED614EF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22A8AB16" w14:textId="0481B9DC" w:rsidR="00431E9C" w:rsidRDefault="009A48DE" w:rsidP="00975344">
            <w:pPr>
              <w:numPr>
                <w:ilvl w:val="0"/>
                <w:numId w:val="23"/>
              </w:numPr>
            </w:pPr>
            <w:r>
              <w:t xml:space="preserve">As EIC, </w:t>
            </w:r>
            <w:proofErr w:type="gramStart"/>
            <w:r>
              <w:t>provides</w:t>
            </w:r>
            <w:proofErr w:type="gramEnd"/>
            <w:r>
              <w:t xml:space="preserve"> oversight of </w:t>
            </w:r>
            <w:r w:rsidR="009D626C" w:rsidRPr="00500233">
              <w:rPr>
                <w:color w:val="3F3F3F"/>
              </w:rPr>
              <w:t xml:space="preserve">non-complex </w:t>
            </w:r>
            <w:r w:rsidR="009D626C">
              <w:rPr>
                <w:color w:val="3F3F3F"/>
              </w:rPr>
              <w:t>in</w:t>
            </w:r>
            <w:r>
              <w:t>stitutions</w:t>
            </w:r>
            <w:r w:rsidR="00341211">
              <w:t>.</w:t>
            </w:r>
          </w:p>
          <w:p w14:paraId="1A16E8A0" w14:textId="7BE6F3CD" w:rsidR="00341211" w:rsidRPr="00431E9C" w:rsidRDefault="00341211" w:rsidP="00975344">
            <w:pPr>
              <w:numPr>
                <w:ilvl w:val="0"/>
                <w:numId w:val="23"/>
              </w:numPr>
            </w:pPr>
            <w:r w:rsidRPr="00FA3F36">
              <w:rPr>
                <w:rFonts w:eastAsia="Arial"/>
                <w:color w:val="000000"/>
              </w:rPr>
              <w:t>Determines the scope of examinations (e.g. results of last examination, financial and risk reports), including strategies, programs, and procedures for specific assignments. Such areas include asset quality/credit risk, market risk, information technology, trust, and compliance.</w:t>
            </w:r>
          </w:p>
          <w:p w14:paraId="110DA4B2" w14:textId="45A694D6" w:rsidR="00975344" w:rsidRPr="00975344" w:rsidRDefault="00975344" w:rsidP="00975344">
            <w:pPr>
              <w:numPr>
                <w:ilvl w:val="0"/>
                <w:numId w:val="23"/>
              </w:numPr>
            </w:pPr>
            <w:r w:rsidRPr="00975344">
              <w:rPr>
                <w:rFonts w:eastAsia="Arial"/>
                <w:color w:val="000000"/>
              </w:rPr>
              <w:t>Assigns and schedules specific work assignments for examination team, setting priorities and directing tasks of those assignments.</w:t>
            </w:r>
          </w:p>
          <w:p w14:paraId="5373FF14" w14:textId="77777777" w:rsidR="00975344" w:rsidRPr="00157D2D" w:rsidRDefault="00975344" w:rsidP="00975344">
            <w:pPr>
              <w:numPr>
                <w:ilvl w:val="0"/>
                <w:numId w:val="23"/>
              </w:numPr>
            </w:pPr>
            <w:r w:rsidRPr="00975344">
              <w:rPr>
                <w:rFonts w:eastAsia="Arial"/>
                <w:color w:val="000000"/>
              </w:rPr>
              <w:t>Directs, reviews and evaluates completed work assignments/techniques providing feedback to ensure accurate analysis as well as conforming to state and federal regulations.</w:t>
            </w:r>
          </w:p>
          <w:p w14:paraId="43FA5E30" w14:textId="52574097" w:rsidR="00157D2D" w:rsidRPr="00975344" w:rsidRDefault="00157D2D" w:rsidP="00975344">
            <w:pPr>
              <w:numPr>
                <w:ilvl w:val="0"/>
                <w:numId w:val="23"/>
              </w:numPr>
            </w:pPr>
            <w:r>
              <w:t xml:space="preserve">Reviews </w:t>
            </w:r>
            <w:r w:rsidRPr="00157D2D">
              <w:t>comprehensive reports on the safety and soundness, overall condition, risk profile, compliance with laws and regulations and/or targeted review areas of financial institutions.</w:t>
            </w:r>
          </w:p>
          <w:p w14:paraId="01C3B792" w14:textId="77777777" w:rsidR="007F0B73" w:rsidRDefault="00B817E5" w:rsidP="00975344">
            <w:pPr>
              <w:pStyle w:val="DutyText"/>
              <w:numPr>
                <w:ilvl w:val="0"/>
                <w:numId w:val="23"/>
              </w:numPr>
            </w:pPr>
            <w:r w:rsidRPr="00B817E5">
              <w:t xml:space="preserve">Develops recommendations for supervisory and enforcement actions to ensure the safety and soundness of a financial </w:t>
            </w:r>
            <w:proofErr w:type="gramStart"/>
            <w:r w:rsidRPr="00B817E5">
              <w:t>institution, and</w:t>
            </w:r>
            <w:proofErr w:type="gramEnd"/>
            <w:r w:rsidRPr="00B817E5">
              <w:t xml:space="preserve"> assesses compliance with such actions.</w:t>
            </w:r>
          </w:p>
          <w:p w14:paraId="10992A0B" w14:textId="5D301873" w:rsidR="00B817E5" w:rsidRPr="00DD70ED" w:rsidRDefault="00B817E5" w:rsidP="00975344">
            <w:pPr>
              <w:pStyle w:val="DutyText"/>
              <w:numPr>
                <w:ilvl w:val="0"/>
                <w:numId w:val="23"/>
              </w:numPr>
            </w:pPr>
            <w:r w:rsidRPr="00D304FB">
              <w:t xml:space="preserve">Under the guidance of supervision, </w:t>
            </w:r>
            <w:proofErr w:type="gramStart"/>
            <w:r w:rsidR="007C08FA" w:rsidRPr="00D304FB">
              <w:rPr>
                <w:color w:val="030303"/>
              </w:rPr>
              <w:t>present</w:t>
            </w:r>
            <w:r w:rsidR="00DD70ED" w:rsidRPr="00D304FB">
              <w:rPr>
                <w:color w:val="030303"/>
              </w:rPr>
              <w:t>s</w:t>
            </w:r>
            <w:proofErr w:type="gramEnd"/>
            <w:r w:rsidR="007C08FA" w:rsidRPr="00D304FB">
              <w:rPr>
                <w:color w:val="030303"/>
              </w:rPr>
              <w:t xml:space="preserve"> findings</w:t>
            </w:r>
            <w:r w:rsidR="007C08FA" w:rsidRPr="00DD70ED">
              <w:rPr>
                <w:color w:val="030303"/>
              </w:rPr>
              <w:t xml:space="preserve"> and</w:t>
            </w:r>
            <w:r w:rsidR="007C08FA" w:rsidRPr="00DD70ED">
              <w:rPr>
                <w:color w:val="030303"/>
                <w:spacing w:val="-3"/>
              </w:rPr>
              <w:t xml:space="preserve"> </w:t>
            </w:r>
            <w:r w:rsidR="007C08FA" w:rsidRPr="00DD70ED">
              <w:rPr>
                <w:color w:val="030303"/>
              </w:rPr>
              <w:t>recommendations</w:t>
            </w:r>
            <w:r w:rsidR="007C08FA" w:rsidRPr="00DD70ED">
              <w:rPr>
                <w:color w:val="030303"/>
                <w:spacing w:val="-11"/>
              </w:rPr>
              <w:t xml:space="preserve"> </w:t>
            </w:r>
            <w:r w:rsidR="007C08FA" w:rsidRPr="00DD70ED">
              <w:rPr>
                <w:color w:val="030303"/>
              </w:rPr>
              <w:t>to</w:t>
            </w:r>
            <w:r w:rsidR="007C08FA" w:rsidRPr="00DD70ED">
              <w:rPr>
                <w:color w:val="030303"/>
                <w:spacing w:val="-1"/>
              </w:rPr>
              <w:t xml:space="preserve"> </w:t>
            </w:r>
            <w:r w:rsidR="00DB5EAC">
              <w:rPr>
                <w:color w:val="030303"/>
                <w:spacing w:val="-1"/>
              </w:rPr>
              <w:t>banking</w:t>
            </w:r>
            <w:r w:rsidR="007C08FA" w:rsidRPr="00DD70ED">
              <w:rPr>
                <w:color w:val="030303"/>
              </w:rPr>
              <w:t xml:space="preserve"> management</w:t>
            </w:r>
            <w:r w:rsidR="00904A92">
              <w:rPr>
                <w:color w:val="030303"/>
              </w:rPr>
              <w:t xml:space="preserve"> and board.</w:t>
            </w:r>
          </w:p>
        </w:tc>
      </w:tr>
    </w:tbl>
    <w:p w14:paraId="019327DD" w14:textId="77777777" w:rsidR="007F0B73" w:rsidRPr="00970B53" w:rsidRDefault="007F0B73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385754C7" w14:textId="77777777">
        <w:trPr>
          <w:trHeight w:val="2000"/>
        </w:trPr>
        <w:tc>
          <w:tcPr>
            <w:tcW w:w="10728" w:type="dxa"/>
          </w:tcPr>
          <w:p w14:paraId="056CEC35" w14:textId="77777777" w:rsidR="007F0B73" w:rsidRPr="006766E0" w:rsidRDefault="007F0B73" w:rsidP="00794386">
            <w:pPr>
              <w:pStyle w:val="Heading3"/>
              <w:keepNext w:val="0"/>
            </w:pPr>
            <w:r w:rsidRPr="006766E0">
              <w:lastRenderedPageBreak/>
              <w:br w:type="page"/>
              <w:t>Duty 3</w:t>
            </w:r>
          </w:p>
          <w:p w14:paraId="3EAE5318" w14:textId="77777777" w:rsidR="007F0B73" w:rsidRPr="006766E0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6766E0">
              <w:rPr>
                <w:b/>
              </w:rPr>
              <w:t>General Summary of Duty 3</w:t>
            </w:r>
            <w:r w:rsidRPr="006766E0">
              <w:rPr>
                <w:b/>
              </w:rPr>
              <w:tab/>
              <w:t>% of Time</w:t>
            </w:r>
            <w:r w:rsidR="00BD5957" w:rsidRPr="006766E0">
              <w:rPr>
                <w:b/>
              </w:rPr>
              <w:t xml:space="preserve"> </w:t>
            </w:r>
            <w:r w:rsidR="00BD5957" w:rsidRPr="006766E0">
              <w:rPr>
                <w:b/>
                <w:u w:val="single"/>
              </w:rPr>
              <w:t>10</w:t>
            </w:r>
          </w:p>
          <w:p w14:paraId="40B69AA4" w14:textId="4E1E6B3F" w:rsidR="007F0B73" w:rsidRPr="006766E0" w:rsidRDefault="00BD5957">
            <w:pPr>
              <w:pStyle w:val="DutyText"/>
            </w:pPr>
            <w:r w:rsidRPr="006766E0">
              <w:t xml:space="preserve">Other </w:t>
            </w:r>
            <w:r w:rsidR="002F41E9" w:rsidRPr="006766E0">
              <w:t xml:space="preserve">examination </w:t>
            </w:r>
            <w:r w:rsidRPr="006766E0">
              <w:t>duties, as assigned.</w:t>
            </w:r>
          </w:p>
        </w:tc>
      </w:tr>
      <w:tr w:rsidR="007F0B73" w:rsidRPr="00970B53" w14:paraId="074A33E7" w14:textId="77777777">
        <w:trPr>
          <w:trHeight w:val="4800"/>
        </w:trPr>
        <w:tc>
          <w:tcPr>
            <w:tcW w:w="10728" w:type="dxa"/>
          </w:tcPr>
          <w:p w14:paraId="095C2FE9" w14:textId="77777777" w:rsidR="007F0B73" w:rsidRPr="006766E0" w:rsidRDefault="007F0B73">
            <w:pPr>
              <w:pStyle w:val="DutyText"/>
              <w:rPr>
                <w:b/>
              </w:rPr>
            </w:pPr>
            <w:r w:rsidRPr="006766E0">
              <w:rPr>
                <w:b/>
              </w:rPr>
              <w:t>Individual tasks related to the duty.</w:t>
            </w:r>
          </w:p>
          <w:p w14:paraId="30A6BA6A" w14:textId="77777777" w:rsidR="007F0B73" w:rsidRPr="006766E0" w:rsidRDefault="007F0B73">
            <w:pPr>
              <w:pStyle w:val="DutyText"/>
              <w:numPr>
                <w:ilvl w:val="0"/>
                <w:numId w:val="24"/>
              </w:numPr>
            </w:pPr>
          </w:p>
        </w:tc>
      </w:tr>
      <w:tr w:rsidR="007F0B73" w:rsidRPr="00970B53" w14:paraId="255B1B1B" w14:textId="77777777">
        <w:trPr>
          <w:trHeight w:val="2000"/>
        </w:trPr>
        <w:tc>
          <w:tcPr>
            <w:tcW w:w="10728" w:type="dxa"/>
          </w:tcPr>
          <w:p w14:paraId="44B5CBA8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4</w:t>
            </w:r>
          </w:p>
          <w:p w14:paraId="0D52C25A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4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Pr="00970B53">
              <w:rPr>
                <w:b/>
                <w:u w:val="single"/>
              </w:rPr>
              <w:tab/>
            </w:r>
          </w:p>
          <w:p w14:paraId="3AF6B3C3" w14:textId="77777777" w:rsidR="007F0B73" w:rsidRPr="00970B53" w:rsidRDefault="007F0B73">
            <w:pPr>
              <w:pStyle w:val="DutyText"/>
            </w:pPr>
          </w:p>
        </w:tc>
      </w:tr>
      <w:tr w:rsidR="007F0B73" w:rsidRPr="00970B53" w14:paraId="4E189FDA" w14:textId="77777777">
        <w:trPr>
          <w:trHeight w:val="4800"/>
        </w:trPr>
        <w:tc>
          <w:tcPr>
            <w:tcW w:w="10728" w:type="dxa"/>
          </w:tcPr>
          <w:p w14:paraId="332B976D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2A5D086A" w14:textId="77777777" w:rsidR="007F0B73" w:rsidRPr="00970B53" w:rsidRDefault="007F0B73">
            <w:pPr>
              <w:pStyle w:val="DutyText"/>
              <w:numPr>
                <w:ilvl w:val="0"/>
                <w:numId w:val="25"/>
              </w:numPr>
            </w:pPr>
          </w:p>
        </w:tc>
      </w:tr>
    </w:tbl>
    <w:p w14:paraId="21B943C4" w14:textId="77777777" w:rsidR="007F0B73" w:rsidRPr="00970B53" w:rsidRDefault="007F0B73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1863C917" w14:textId="77777777">
        <w:trPr>
          <w:trHeight w:val="2000"/>
        </w:trPr>
        <w:tc>
          <w:tcPr>
            <w:tcW w:w="10728" w:type="dxa"/>
          </w:tcPr>
          <w:p w14:paraId="5B697A50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br w:type="page"/>
              <w:t>Duty 5</w:t>
            </w:r>
          </w:p>
          <w:p w14:paraId="78862D2B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5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Pr="00970B53">
              <w:rPr>
                <w:b/>
                <w:u w:val="single"/>
              </w:rPr>
              <w:tab/>
            </w:r>
          </w:p>
          <w:p w14:paraId="4E7FD038" w14:textId="77777777" w:rsidR="007F0B73" w:rsidRPr="00970B53" w:rsidRDefault="007F0B73">
            <w:pPr>
              <w:pStyle w:val="DutyText"/>
            </w:pPr>
          </w:p>
        </w:tc>
      </w:tr>
      <w:tr w:rsidR="007F0B73" w:rsidRPr="00970B53" w14:paraId="0DACACBC" w14:textId="77777777">
        <w:trPr>
          <w:trHeight w:val="4800"/>
        </w:trPr>
        <w:tc>
          <w:tcPr>
            <w:tcW w:w="10728" w:type="dxa"/>
          </w:tcPr>
          <w:p w14:paraId="47263B8A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20C70237" w14:textId="77777777" w:rsidR="007F0B73" w:rsidRPr="00970B53" w:rsidRDefault="007F0B73">
            <w:pPr>
              <w:pStyle w:val="DutyText"/>
              <w:numPr>
                <w:ilvl w:val="0"/>
                <w:numId w:val="26"/>
              </w:numPr>
            </w:pPr>
          </w:p>
        </w:tc>
      </w:tr>
      <w:tr w:rsidR="007F0B73" w:rsidRPr="00970B53" w14:paraId="5516A97D" w14:textId="77777777">
        <w:trPr>
          <w:trHeight w:val="2000"/>
        </w:trPr>
        <w:tc>
          <w:tcPr>
            <w:tcW w:w="10728" w:type="dxa"/>
          </w:tcPr>
          <w:p w14:paraId="346B56FA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6</w:t>
            </w:r>
          </w:p>
          <w:p w14:paraId="14F494E2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6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Pr="00970B53">
              <w:rPr>
                <w:b/>
                <w:u w:val="single"/>
              </w:rPr>
              <w:tab/>
            </w:r>
          </w:p>
          <w:p w14:paraId="06005056" w14:textId="77777777" w:rsidR="007F0B73" w:rsidRPr="00970B53" w:rsidRDefault="007F0B73">
            <w:pPr>
              <w:pStyle w:val="DutyText"/>
            </w:pPr>
          </w:p>
        </w:tc>
      </w:tr>
      <w:tr w:rsidR="007F0B73" w:rsidRPr="00970B53" w14:paraId="358DD4B2" w14:textId="77777777">
        <w:trPr>
          <w:trHeight w:val="4800"/>
        </w:trPr>
        <w:tc>
          <w:tcPr>
            <w:tcW w:w="10728" w:type="dxa"/>
          </w:tcPr>
          <w:p w14:paraId="61710DBB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4928994C" w14:textId="77777777" w:rsidR="007F0B73" w:rsidRPr="00970B53" w:rsidRDefault="007F0B73">
            <w:pPr>
              <w:pStyle w:val="DutyText"/>
              <w:numPr>
                <w:ilvl w:val="0"/>
                <w:numId w:val="27"/>
              </w:numPr>
            </w:pPr>
          </w:p>
        </w:tc>
      </w:tr>
    </w:tbl>
    <w:p w14:paraId="1D259392" w14:textId="77777777" w:rsidR="007F0B73" w:rsidRPr="00970B53" w:rsidRDefault="007F0B73">
      <w:bookmarkStart w:id="1" w:name="AddPage"/>
      <w:bookmarkEnd w:id="1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970B53" w14:paraId="515A14A9" w14:textId="77777777">
        <w:trPr>
          <w:trHeight w:val="2200"/>
        </w:trPr>
        <w:tc>
          <w:tcPr>
            <w:tcW w:w="10728" w:type="dxa"/>
            <w:gridSpan w:val="4"/>
          </w:tcPr>
          <w:p w14:paraId="459B18E3" w14:textId="77777777" w:rsidR="007F0B73" w:rsidRPr="00970B53" w:rsidRDefault="007F0B73">
            <w:pPr>
              <w:pStyle w:val="CellNumber"/>
            </w:pPr>
            <w:r w:rsidRPr="00970B53"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77DAD31D" w14:textId="7EDD0BCC" w:rsidR="00BD5C3D" w:rsidRPr="00BD5C3D" w:rsidRDefault="00904A92" w:rsidP="00BD5C3D">
            <w:pPr>
              <w:pStyle w:val="BodyText"/>
              <w:spacing w:before="153" w:line="247" w:lineRule="auto"/>
              <w:ind w:left="23" w:firstLine="1"/>
              <w:rPr>
                <w:b w:val="0"/>
                <w:bCs/>
                <w:sz w:val="20"/>
              </w:rPr>
            </w:pPr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>Adjustments in</w:t>
            </w:r>
            <w:r w:rsidR="00BD5C3D" w:rsidRPr="00BD5C3D">
              <w:rPr>
                <w:b w:val="0"/>
                <w:bCs/>
                <w:color w:val="030303"/>
                <w:spacing w:val="-5"/>
                <w:w w:val="105"/>
                <w:sz w:val="20"/>
              </w:rPr>
              <w:t xml:space="preserve"> </w:t>
            </w:r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>the</w:t>
            </w:r>
            <w:r w:rsidR="00BD5C3D" w:rsidRPr="00BD5C3D">
              <w:rPr>
                <w:b w:val="0"/>
                <w:bCs/>
                <w:color w:val="030303"/>
                <w:spacing w:val="-2"/>
                <w:w w:val="105"/>
                <w:sz w:val="20"/>
              </w:rPr>
              <w:t xml:space="preserve"> </w:t>
            </w:r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>scope of</w:t>
            </w:r>
            <w:r w:rsidR="00BD5C3D" w:rsidRPr="00BD5C3D">
              <w:rPr>
                <w:b w:val="0"/>
                <w:bCs/>
                <w:color w:val="030303"/>
                <w:spacing w:val="-1"/>
                <w:w w:val="105"/>
                <w:sz w:val="20"/>
              </w:rPr>
              <w:t xml:space="preserve"> </w:t>
            </w:r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 xml:space="preserve">each assignment </w:t>
            </w:r>
            <w:proofErr w:type="gramStart"/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>as a result of</w:t>
            </w:r>
            <w:proofErr w:type="gramEnd"/>
            <w:r w:rsidR="00BD5C3D" w:rsidRPr="00BD5C3D">
              <w:rPr>
                <w:b w:val="0"/>
                <w:bCs/>
                <w:color w:val="030303"/>
                <w:spacing w:val="-1"/>
                <w:w w:val="105"/>
                <w:sz w:val="20"/>
              </w:rPr>
              <w:t xml:space="preserve"> </w:t>
            </w:r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>unforeseen/or questionable practices are encountered</w:t>
            </w:r>
            <w:r w:rsidR="00BD5C3D" w:rsidRPr="00BD5C3D">
              <w:rPr>
                <w:b w:val="0"/>
                <w:bCs/>
                <w:color w:val="3F3F3F"/>
                <w:w w:val="105"/>
                <w:sz w:val="20"/>
              </w:rPr>
              <w:t>.</w:t>
            </w:r>
            <w:r w:rsidR="00BD5C3D" w:rsidRPr="00BD5C3D">
              <w:rPr>
                <w:b w:val="0"/>
                <w:bCs/>
                <w:color w:val="3F3F3F"/>
                <w:spacing w:val="-13"/>
                <w:w w:val="105"/>
                <w:sz w:val="20"/>
              </w:rPr>
              <w:t xml:space="preserve"> </w:t>
            </w:r>
            <w:r w:rsidRPr="00BD5C3D">
              <w:rPr>
                <w:b w:val="0"/>
                <w:bCs/>
                <w:caps w:val="0"/>
                <w:color w:val="030303"/>
                <w:w w:val="105"/>
                <w:sz w:val="20"/>
              </w:rPr>
              <w:t>The financial institution's operation, the board of directors and employees may be affected by those decisions</w:t>
            </w:r>
            <w:r w:rsidR="00BD5C3D" w:rsidRPr="00BD5C3D">
              <w:rPr>
                <w:b w:val="0"/>
                <w:bCs/>
                <w:color w:val="3F3F3F"/>
                <w:w w:val="105"/>
                <w:sz w:val="20"/>
              </w:rPr>
              <w:t>.</w:t>
            </w:r>
          </w:p>
          <w:p w14:paraId="7F82A0A7" w14:textId="77777777" w:rsidR="007F0B73" w:rsidRPr="00970B53" w:rsidRDefault="007F0B73" w:rsidP="00BE54AE">
            <w:pPr>
              <w:spacing w:before="144"/>
              <w:ind w:left="20"/>
            </w:pPr>
          </w:p>
        </w:tc>
      </w:tr>
      <w:tr w:rsidR="007F0B73" w:rsidRPr="00970B53" w14:paraId="3945552B" w14:textId="77777777">
        <w:trPr>
          <w:trHeight w:val="2200"/>
        </w:trPr>
        <w:tc>
          <w:tcPr>
            <w:tcW w:w="10728" w:type="dxa"/>
            <w:gridSpan w:val="4"/>
          </w:tcPr>
          <w:p w14:paraId="07D78A1D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37AB14AF" w14:textId="3AAA6296" w:rsidR="007F0B73" w:rsidRPr="001B4012" w:rsidRDefault="002F5CDE" w:rsidP="0070274E">
            <w:pPr>
              <w:spacing w:before="131" w:line="232" w:lineRule="auto"/>
              <w:ind w:left="20"/>
            </w:pPr>
            <w:r w:rsidRPr="001B4012">
              <w:rPr>
                <w:color w:val="030303"/>
                <w:w w:val="105"/>
              </w:rPr>
              <w:t>The supervisor's review would be</w:t>
            </w:r>
            <w:r w:rsidRPr="001B4012">
              <w:rPr>
                <w:color w:val="030303"/>
                <w:spacing w:val="-10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needed when</w:t>
            </w:r>
            <w:r w:rsidRPr="001B4012">
              <w:rPr>
                <w:color w:val="030303"/>
                <w:spacing w:val="-2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the</w:t>
            </w:r>
            <w:r w:rsidRPr="001B4012">
              <w:rPr>
                <w:color w:val="030303"/>
                <w:spacing w:val="-8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change to</w:t>
            </w:r>
            <w:r w:rsidRPr="001B4012">
              <w:rPr>
                <w:color w:val="030303"/>
                <w:spacing w:val="-7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an</w:t>
            </w:r>
            <w:r w:rsidRPr="001B4012">
              <w:rPr>
                <w:color w:val="030303"/>
                <w:spacing w:val="-6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assignment could affect</w:t>
            </w:r>
            <w:r w:rsidRPr="001B4012">
              <w:rPr>
                <w:color w:val="030303"/>
                <w:spacing w:val="-2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the</w:t>
            </w:r>
            <w:r w:rsidRPr="001B4012">
              <w:rPr>
                <w:color w:val="030303"/>
                <w:spacing w:val="-1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output of</w:t>
            </w:r>
            <w:r w:rsidRPr="001B4012">
              <w:rPr>
                <w:color w:val="030303"/>
                <w:spacing w:val="-8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>the examination</w:t>
            </w:r>
            <w:r w:rsidRPr="001B4012">
              <w:rPr>
                <w:color w:val="525252"/>
                <w:w w:val="105"/>
              </w:rPr>
              <w:t>.</w:t>
            </w:r>
            <w:r w:rsidRPr="001B4012">
              <w:rPr>
                <w:color w:val="525252"/>
                <w:spacing w:val="-1"/>
                <w:w w:val="105"/>
              </w:rPr>
              <w:t xml:space="preserve"> </w:t>
            </w:r>
            <w:r w:rsidRPr="001B4012">
              <w:rPr>
                <w:color w:val="030303"/>
                <w:w w:val="105"/>
              </w:rPr>
              <w:t xml:space="preserve">A supervisor's review would also be required when a decision/action may impact corrective recommendations requested of the </w:t>
            </w:r>
            <w:r w:rsidR="00DB5EAC">
              <w:rPr>
                <w:color w:val="030303"/>
                <w:w w:val="105"/>
              </w:rPr>
              <w:t>banking</w:t>
            </w:r>
            <w:r w:rsidRPr="001B4012">
              <w:rPr>
                <w:color w:val="525252"/>
                <w:w w:val="105"/>
              </w:rPr>
              <w:t>.</w:t>
            </w:r>
          </w:p>
        </w:tc>
      </w:tr>
      <w:tr w:rsidR="007F0B73" w:rsidRPr="00970B53" w14:paraId="1383152C" w14:textId="77777777" w:rsidTr="009B1E3D">
        <w:trPr>
          <w:trHeight w:val="2001"/>
        </w:trPr>
        <w:tc>
          <w:tcPr>
            <w:tcW w:w="10728" w:type="dxa"/>
            <w:gridSpan w:val="4"/>
          </w:tcPr>
          <w:p w14:paraId="33E1130F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423F5A96" w14:textId="102B621E" w:rsidR="005B400B" w:rsidRPr="00970B53" w:rsidRDefault="002F5CDE" w:rsidP="005B400B">
            <w:pPr>
              <w:pStyle w:val="CellText"/>
              <w:spacing w:after="0"/>
              <w:ind w:left="0"/>
            </w:pPr>
            <w:r>
              <w:t>Physical effort is conducive to an office setting.</w:t>
            </w:r>
            <w:r w:rsidR="004C2F55">
              <w:t xml:space="preserve"> </w:t>
            </w:r>
            <w:r w:rsidR="004C2F55" w:rsidRPr="004C2F55">
              <w:rPr>
                <w:rFonts w:eastAsia="Arial"/>
                <w:color w:val="000000"/>
              </w:rPr>
              <w:t>The position requires the ability to meet rigid work schedules, in-state travel by automobile, and out-of-state travel by air. Overnight travel is required. Assignments throughout Michigan may extend several days or weeks.</w:t>
            </w:r>
          </w:p>
        </w:tc>
      </w:tr>
      <w:tr w:rsidR="007F0B73" w:rsidRPr="00970B53" w14:paraId="10422CF7" w14:textId="77777777" w:rsidTr="009B1E3D">
        <w:trPr>
          <w:trHeight w:hRule="exact" w:val="645"/>
        </w:trPr>
        <w:tc>
          <w:tcPr>
            <w:tcW w:w="10728" w:type="dxa"/>
            <w:gridSpan w:val="4"/>
          </w:tcPr>
          <w:p w14:paraId="26CFE2F2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3843AC27" w14:textId="77777777">
        <w:trPr>
          <w:trHeight w:hRule="exact" w:val="400"/>
        </w:trPr>
        <w:tc>
          <w:tcPr>
            <w:tcW w:w="2682" w:type="dxa"/>
            <w:vAlign w:val="center"/>
          </w:tcPr>
          <w:p w14:paraId="55C3CB6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535F4027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082CFD2D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40F95521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676E4B1C" w14:textId="77777777">
        <w:trPr>
          <w:trHeight w:val="400"/>
        </w:trPr>
        <w:tc>
          <w:tcPr>
            <w:tcW w:w="2682" w:type="dxa"/>
            <w:vAlign w:val="center"/>
          </w:tcPr>
          <w:p w14:paraId="173033D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F420A50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39269E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2F62174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7D25201A" w14:textId="77777777">
        <w:trPr>
          <w:trHeight w:val="400"/>
        </w:trPr>
        <w:tc>
          <w:tcPr>
            <w:tcW w:w="2682" w:type="dxa"/>
            <w:vAlign w:val="center"/>
          </w:tcPr>
          <w:p w14:paraId="0D4467A3" w14:textId="77777777" w:rsidR="007F0B73" w:rsidRPr="00970B53" w:rsidRDefault="007F0B73"/>
        </w:tc>
        <w:tc>
          <w:tcPr>
            <w:tcW w:w="2682" w:type="dxa"/>
            <w:vAlign w:val="center"/>
          </w:tcPr>
          <w:p w14:paraId="1448925D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F23AB7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675B81D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5D629A7D" w14:textId="77777777">
        <w:trPr>
          <w:trHeight w:val="400"/>
        </w:trPr>
        <w:tc>
          <w:tcPr>
            <w:tcW w:w="2682" w:type="dxa"/>
            <w:vAlign w:val="center"/>
          </w:tcPr>
          <w:p w14:paraId="144D710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9F6868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1944A4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0F2603C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3C194B8B" w14:textId="77777777">
        <w:trPr>
          <w:trHeight w:val="400"/>
        </w:trPr>
        <w:tc>
          <w:tcPr>
            <w:tcW w:w="2682" w:type="dxa"/>
            <w:vAlign w:val="center"/>
          </w:tcPr>
          <w:p w14:paraId="2ACD97B3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C416793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42F390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2ACD94F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1C2FD26E" w14:textId="77777777">
        <w:trPr>
          <w:trHeight w:val="400"/>
        </w:trPr>
        <w:tc>
          <w:tcPr>
            <w:tcW w:w="2682" w:type="dxa"/>
            <w:vAlign w:val="center"/>
          </w:tcPr>
          <w:p w14:paraId="3173F4E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88737D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676A2A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04AAF32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776F0C13" w14:textId="77777777">
        <w:trPr>
          <w:trHeight w:hRule="exact" w:val="2400"/>
        </w:trPr>
        <w:tc>
          <w:tcPr>
            <w:tcW w:w="10728" w:type="dxa"/>
            <w:gridSpan w:val="4"/>
          </w:tcPr>
          <w:p w14:paraId="71A88174" w14:textId="77777777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</w:t>
            </w:r>
            <w:proofErr w:type="gramStart"/>
            <w:r w:rsidRPr="00970B53">
              <w:t>includes</w:t>
            </w:r>
            <w:proofErr w:type="gramEnd"/>
            <w:r w:rsidRPr="00970B53">
              <w:t xml:space="preserve"> the following (check as many as apply):</w:t>
            </w:r>
          </w:p>
          <w:p w14:paraId="687B2185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56C1D830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658F805A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4D3BF182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0FACE8E3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</w:tbl>
    <w:p w14:paraId="7A2F3D45" w14:textId="77777777" w:rsidR="007F0B73" w:rsidRPr="00970B53" w:rsidRDefault="007F0B73">
      <w:pPr>
        <w:spacing w:before="120"/>
        <w:jc w:val="center"/>
        <w:rPr>
          <w:b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0B58631B" w14:textId="77777777">
        <w:trPr>
          <w:trHeight w:val="3831"/>
        </w:trPr>
        <w:tc>
          <w:tcPr>
            <w:tcW w:w="10728" w:type="dxa"/>
          </w:tcPr>
          <w:p w14:paraId="014E7063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393A443B" w14:textId="601F11C2" w:rsidR="007F0B73" w:rsidRPr="004C2F55" w:rsidRDefault="004C2F55">
            <w:pPr>
              <w:pStyle w:val="CellText"/>
            </w:pPr>
            <w:r>
              <w:t>Yes.</w:t>
            </w:r>
          </w:p>
        </w:tc>
      </w:tr>
      <w:tr w:rsidR="007F0B73" w:rsidRPr="00970B53" w14:paraId="0861B02C" w14:textId="77777777">
        <w:trPr>
          <w:trHeight w:val="3400"/>
        </w:trPr>
        <w:tc>
          <w:tcPr>
            <w:tcW w:w="10728" w:type="dxa"/>
          </w:tcPr>
          <w:p w14:paraId="58DEAF51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6728195B" w14:textId="1A6DB6A4" w:rsidR="007F0B73" w:rsidRPr="00A22209" w:rsidRDefault="00A22209" w:rsidP="00A22209">
            <w:pPr>
              <w:spacing w:line="232" w:lineRule="auto"/>
              <w:ind w:left="20" w:right="40"/>
            </w:pPr>
            <w:r w:rsidRPr="00A22209">
              <w:rPr>
                <w:rFonts w:eastAsia="Arial"/>
                <w:color w:val="000000"/>
              </w:rPr>
              <w:t>Responsible for the examination and supervision of</w:t>
            </w:r>
            <w:r w:rsidR="00117273">
              <w:rPr>
                <w:rFonts w:eastAsia="Arial"/>
                <w:color w:val="000000"/>
              </w:rPr>
              <w:t xml:space="preserve"> </w:t>
            </w:r>
            <w:r w:rsidR="00117273" w:rsidRPr="00500233">
              <w:rPr>
                <w:color w:val="3F3F3F"/>
              </w:rPr>
              <w:t xml:space="preserve">non-complex </w:t>
            </w:r>
            <w:r w:rsidR="00E41DF4">
              <w:rPr>
                <w:color w:val="3F3F3F"/>
              </w:rPr>
              <w:t xml:space="preserve">financial </w:t>
            </w:r>
            <w:r w:rsidRPr="00A22209">
              <w:rPr>
                <w:rFonts w:eastAsia="Arial"/>
                <w:color w:val="000000"/>
              </w:rPr>
              <w:t>institutions examinations</w:t>
            </w:r>
            <w:r w:rsidR="00E41DF4">
              <w:rPr>
                <w:rFonts w:eastAsia="Arial"/>
                <w:color w:val="000000"/>
              </w:rPr>
              <w:t>. D</w:t>
            </w:r>
            <w:r w:rsidRPr="00A22209">
              <w:rPr>
                <w:rFonts w:eastAsia="Arial"/>
                <w:color w:val="000000"/>
              </w:rPr>
              <w:t xml:space="preserve">uties may also include the examination or the assistance in the examination of </w:t>
            </w:r>
            <w:r w:rsidR="00031CEC">
              <w:rPr>
                <w:rFonts w:eastAsia="Arial"/>
                <w:color w:val="000000"/>
              </w:rPr>
              <w:t xml:space="preserve">banking </w:t>
            </w:r>
            <w:r w:rsidRPr="00A22209">
              <w:rPr>
                <w:rFonts w:eastAsia="Arial"/>
                <w:color w:val="000000"/>
              </w:rPr>
              <w:t>organizations.</w:t>
            </w:r>
          </w:p>
        </w:tc>
      </w:tr>
      <w:tr w:rsidR="007F0B73" w:rsidRPr="00970B53" w14:paraId="77115702" w14:textId="77777777">
        <w:trPr>
          <w:trHeight w:val="3400"/>
        </w:trPr>
        <w:tc>
          <w:tcPr>
            <w:tcW w:w="10728" w:type="dxa"/>
          </w:tcPr>
          <w:p w14:paraId="26B041FB" w14:textId="77777777" w:rsidR="007F0B73" w:rsidRPr="00970B53" w:rsidRDefault="007F0B73">
            <w:pPr>
              <w:pStyle w:val="CellNumber"/>
            </w:pPr>
            <w:r w:rsidRPr="00970B53"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475988A8" w14:textId="77777777" w:rsidR="00FD3415" w:rsidRPr="00FD3415" w:rsidRDefault="00FD3415" w:rsidP="00FD3415">
            <w:pPr>
              <w:pStyle w:val="CellText"/>
            </w:pPr>
            <w:r w:rsidRPr="00FD3415">
              <w:t>Update PD. The E-level PDs are being updated to reflect current duties and responsibilities and better align with the</w:t>
            </w:r>
          </w:p>
          <w:p w14:paraId="52E00449" w14:textId="50DC7876" w:rsidR="007F0B73" w:rsidRPr="00970B53" w:rsidRDefault="00FD3415" w:rsidP="00FD3415">
            <w:pPr>
              <w:pStyle w:val="CellText"/>
              <w:spacing w:after="0"/>
            </w:pPr>
            <w:r w:rsidRPr="00FD3415">
              <w:t>experienced level duties in the comparison chart and senior standards.</w:t>
            </w:r>
          </w:p>
        </w:tc>
      </w:tr>
      <w:tr w:rsidR="007F0B73" w:rsidRPr="00970B53" w14:paraId="1525460E" w14:textId="77777777">
        <w:trPr>
          <w:trHeight w:val="3400"/>
        </w:trPr>
        <w:tc>
          <w:tcPr>
            <w:tcW w:w="10728" w:type="dxa"/>
          </w:tcPr>
          <w:p w14:paraId="6F43D68B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188A8537" w14:textId="0C9986D3" w:rsidR="007F0B73" w:rsidRPr="00C91308" w:rsidRDefault="00031CEC">
            <w:pPr>
              <w:pStyle w:val="CellText"/>
              <w:spacing w:after="0"/>
            </w:pPr>
            <w:r>
              <w:rPr>
                <w:rFonts w:eastAsia="Arial"/>
                <w:color w:val="000000"/>
              </w:rPr>
              <w:t xml:space="preserve">The regulation and supervision of Michigan’s state-chartered banks, BIDCOs, and service organizations is required by the Michigan Banking Code of 1999. </w:t>
            </w:r>
            <w:r w:rsidR="00D64F30">
              <w:rPr>
                <w:rFonts w:eastAsia="Arial"/>
                <w:color w:val="000000"/>
              </w:rPr>
              <w:t>P</w:t>
            </w:r>
            <w:r>
              <w:rPr>
                <w:rFonts w:eastAsia="Arial"/>
                <w:color w:val="000000"/>
              </w:rPr>
              <w:t>A 276 of 1999, the Savings Bank Act, PA 354 of 1996, and the Michigan BIDCO Act, PA 89 of 1986.</w:t>
            </w:r>
            <w:r w:rsidR="00BF759C" w:rsidRPr="00C91308"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 xml:space="preserve"> </w:t>
            </w:r>
            <w:r w:rsidR="009567D8" w:rsidRPr="00C91308">
              <w:rPr>
                <w:rFonts w:eastAsia="Arial"/>
                <w:color w:val="000000"/>
              </w:rPr>
              <w:t>T</w:t>
            </w:r>
            <w:r w:rsidR="000C3FE5" w:rsidRPr="00C91308">
              <w:rPr>
                <w:rFonts w:eastAsia="Arial"/>
                <w:color w:val="000000"/>
              </w:rPr>
              <w:t>his position is responsible</w:t>
            </w:r>
            <w:r w:rsidR="00C91308" w:rsidRPr="00C91308">
              <w:rPr>
                <w:rFonts w:eastAsia="Arial"/>
                <w:color w:val="000000"/>
              </w:rPr>
              <w:t xml:space="preserve"> for performing </w:t>
            </w:r>
            <w:r w:rsidR="00DA58FF">
              <w:rPr>
                <w:rFonts w:eastAsia="Arial"/>
                <w:color w:val="000000"/>
              </w:rPr>
              <w:t xml:space="preserve">non-complex </w:t>
            </w:r>
            <w:r w:rsidR="000C3FE5" w:rsidRPr="00C91308">
              <w:rPr>
                <w:rFonts w:eastAsia="Arial"/>
                <w:color w:val="000000"/>
              </w:rPr>
              <w:t xml:space="preserve">examinations </w:t>
            </w:r>
            <w:r w:rsidR="00C91308" w:rsidRPr="00C91308">
              <w:rPr>
                <w:rFonts w:eastAsia="Arial"/>
                <w:color w:val="000000"/>
              </w:rPr>
              <w:t>of</w:t>
            </w:r>
            <w:r w:rsidR="000C3FE5" w:rsidRPr="00C91308">
              <w:rPr>
                <w:rFonts w:eastAsia="Arial"/>
                <w:color w:val="000000"/>
              </w:rPr>
              <w:t xml:space="preserve"> state-chartered </w:t>
            </w:r>
            <w:r>
              <w:rPr>
                <w:rFonts w:eastAsia="Arial"/>
                <w:color w:val="000000"/>
              </w:rPr>
              <w:t xml:space="preserve">Banking </w:t>
            </w:r>
            <w:r w:rsidR="000C3FE5" w:rsidRPr="00C91308">
              <w:rPr>
                <w:rFonts w:eastAsia="Arial"/>
                <w:color w:val="000000"/>
              </w:rPr>
              <w:t>organizations.</w:t>
            </w:r>
          </w:p>
        </w:tc>
      </w:tr>
      <w:tr w:rsidR="007F0B73" w:rsidRPr="00970B53" w14:paraId="7DA4F67C" w14:textId="77777777" w:rsidTr="00EF4971">
        <w:trPr>
          <w:trHeight w:hRule="exact" w:val="555"/>
        </w:trPr>
        <w:tc>
          <w:tcPr>
            <w:tcW w:w="10728" w:type="dxa"/>
          </w:tcPr>
          <w:p w14:paraId="51FD4DF8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59229D16" w14:textId="77777777" w:rsidTr="00EF4971">
        <w:trPr>
          <w:trHeight w:val="1596"/>
        </w:trPr>
        <w:tc>
          <w:tcPr>
            <w:tcW w:w="10728" w:type="dxa"/>
          </w:tcPr>
          <w:p w14:paraId="3C90F99E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415AF2D5" w14:textId="0D1D6E4F" w:rsidR="007F0B73" w:rsidRPr="00B05111" w:rsidRDefault="000A5172" w:rsidP="00B05111">
            <w:r w:rsidRPr="00B05111">
              <w:t>Possession of a bachelor's degree with a business major including completion of a business core curriculum consisting of one course each in finance, law, and management, one course in either marketing or economics, and 6 semester (9 term) credits in accounting.</w:t>
            </w:r>
          </w:p>
        </w:tc>
      </w:tr>
      <w:tr w:rsidR="007F0B73" w:rsidRPr="00970B53" w14:paraId="59194C1F" w14:textId="77777777" w:rsidTr="00EF4971">
        <w:trPr>
          <w:trHeight w:val="1605"/>
        </w:trPr>
        <w:tc>
          <w:tcPr>
            <w:tcW w:w="10728" w:type="dxa"/>
          </w:tcPr>
          <w:p w14:paraId="1FF12851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77FBAEBA" w14:textId="7C84FD45" w:rsidR="004028E4" w:rsidRPr="004028E4" w:rsidRDefault="004028E4" w:rsidP="004028E4"/>
          <w:p w14:paraId="39F56F00" w14:textId="77777777" w:rsidR="004028E4" w:rsidRPr="0037509C" w:rsidRDefault="004028E4" w:rsidP="004028E4">
            <w:pPr>
              <w:rPr>
                <w:u w:val="single"/>
              </w:rPr>
            </w:pPr>
            <w:r w:rsidRPr="0037509C">
              <w:rPr>
                <w:u w:val="single"/>
              </w:rPr>
              <w:t>Financial Institution Examiner 9</w:t>
            </w:r>
          </w:p>
          <w:p w14:paraId="6220AAA9" w14:textId="77777777" w:rsidR="00DF7DAC" w:rsidRDefault="004028E4" w:rsidP="004028E4">
            <w:r w:rsidRPr="004028E4">
              <w:t xml:space="preserve">No specific type or amount is required. </w:t>
            </w:r>
          </w:p>
          <w:p w14:paraId="2683CC06" w14:textId="77777777" w:rsidR="00DF7DAC" w:rsidRDefault="00DF7DAC" w:rsidP="004028E4"/>
          <w:p w14:paraId="0530872B" w14:textId="77777777" w:rsidR="00DF7DAC" w:rsidRPr="0037509C" w:rsidRDefault="004028E4" w:rsidP="004028E4">
            <w:pPr>
              <w:rPr>
                <w:u w:val="single"/>
              </w:rPr>
            </w:pPr>
            <w:r w:rsidRPr="0037509C">
              <w:rPr>
                <w:u w:val="single"/>
              </w:rPr>
              <w:t xml:space="preserve">Financial Institution Examiner 10 </w:t>
            </w:r>
          </w:p>
          <w:p w14:paraId="66C9B1F4" w14:textId="77777777" w:rsidR="00DF7DAC" w:rsidRDefault="00DF7DAC" w:rsidP="004028E4">
            <w:r>
              <w:t>O</w:t>
            </w:r>
            <w:r w:rsidR="004028E4" w:rsidRPr="004028E4">
              <w:t xml:space="preserve">ne year of professional experience evaluating and determining safe and sound operating practices through examinations, visitations or investigations of </w:t>
            </w:r>
            <w:proofErr w:type="gramStart"/>
            <w:r w:rsidR="004028E4" w:rsidRPr="004028E4">
              <w:t>state chartered</w:t>
            </w:r>
            <w:proofErr w:type="gramEnd"/>
            <w:r w:rsidR="004028E4" w:rsidRPr="004028E4">
              <w:t xml:space="preserve"> depository or state licensed </w:t>
            </w:r>
            <w:proofErr w:type="spellStart"/>
            <w:r w:rsidR="004028E4" w:rsidRPr="004028E4">
              <w:t>nondepository</w:t>
            </w:r>
            <w:proofErr w:type="spellEnd"/>
            <w:r w:rsidR="004028E4" w:rsidRPr="004028E4">
              <w:t xml:space="preserve"> financial institutions or financial examinations of state licensed insurance companies in accordance with state and federal statutes equivalent to a Financial Institution Examiner 9. </w:t>
            </w:r>
          </w:p>
          <w:p w14:paraId="7E6D091E" w14:textId="77777777" w:rsidR="00DF7DAC" w:rsidRDefault="00DF7DAC" w:rsidP="004028E4"/>
          <w:p w14:paraId="029E15BF" w14:textId="77777777" w:rsidR="00DF7DAC" w:rsidRPr="0037509C" w:rsidRDefault="004028E4" w:rsidP="004028E4">
            <w:pPr>
              <w:rPr>
                <w:u w:val="single"/>
              </w:rPr>
            </w:pPr>
            <w:r w:rsidRPr="0037509C">
              <w:rPr>
                <w:u w:val="single"/>
              </w:rPr>
              <w:t xml:space="preserve">Financial Institution Examiner P11 </w:t>
            </w:r>
          </w:p>
          <w:p w14:paraId="37FE9672" w14:textId="77777777" w:rsidR="007F0B73" w:rsidRDefault="004028E4" w:rsidP="004028E4">
            <w:r w:rsidRPr="004028E4">
              <w:t xml:space="preserve">Two years of professional experience evaluating and determining safe and sound operating practices through examinations, visitations or investigations of </w:t>
            </w:r>
            <w:proofErr w:type="gramStart"/>
            <w:r w:rsidRPr="004028E4">
              <w:t>state chartered</w:t>
            </w:r>
            <w:proofErr w:type="gramEnd"/>
            <w:r w:rsidRPr="004028E4">
              <w:t xml:space="preserve"> depository or state licensed </w:t>
            </w:r>
            <w:proofErr w:type="spellStart"/>
            <w:r w:rsidRPr="004028E4">
              <w:t>nondepository</w:t>
            </w:r>
            <w:proofErr w:type="spellEnd"/>
            <w:r w:rsidRPr="004028E4">
              <w:t xml:space="preserve"> financial institutions or financial examinations of state licensed insurance companies in accordance with state and federal statutes equivalent to a Financial Institution Examiner, including one year equivalent to a Financial Institution Examiner 10.</w:t>
            </w:r>
          </w:p>
          <w:p w14:paraId="3BAD8CD0" w14:textId="77777777" w:rsidR="00910C2F" w:rsidRDefault="00910C2F" w:rsidP="004028E4"/>
          <w:p w14:paraId="039013AA" w14:textId="77777777" w:rsidR="00EB63DA" w:rsidRPr="004D4FE9" w:rsidRDefault="00D32164" w:rsidP="005C70B8">
            <w:pPr>
              <w:rPr>
                <w:b/>
                <w:bCs/>
              </w:rPr>
            </w:pPr>
            <w:r w:rsidRPr="004D4FE9">
              <w:rPr>
                <w:b/>
                <w:bCs/>
              </w:rPr>
              <w:t>Alternate Education and Experience</w:t>
            </w:r>
          </w:p>
          <w:p w14:paraId="406F26FE" w14:textId="77777777" w:rsidR="00EB63DA" w:rsidRPr="004D4FE9" w:rsidRDefault="00D32164" w:rsidP="005C70B8">
            <w:pPr>
              <w:rPr>
                <w:u w:val="single"/>
              </w:rPr>
            </w:pPr>
            <w:r w:rsidRPr="004D4FE9">
              <w:rPr>
                <w:u w:val="single"/>
              </w:rPr>
              <w:t xml:space="preserve">Financial Institution Examiner 9 </w:t>
            </w:r>
          </w:p>
          <w:p w14:paraId="092C5E67" w14:textId="77777777" w:rsidR="00EB63DA" w:rsidRDefault="00D32164" w:rsidP="005C70B8">
            <w:r w:rsidRPr="005C70B8">
              <w:t>Possession of a bachelor’s degree in any major</w:t>
            </w:r>
          </w:p>
          <w:p w14:paraId="60C1ACFB" w14:textId="77777777" w:rsidR="004D4FE9" w:rsidRDefault="00D32164" w:rsidP="005C70B8">
            <w:r w:rsidRPr="005C70B8">
              <w:t xml:space="preserve">AND </w:t>
            </w:r>
          </w:p>
          <w:p w14:paraId="5CC39132" w14:textId="77777777" w:rsidR="00412C1C" w:rsidRDefault="00D32164" w:rsidP="005C70B8">
            <w:r w:rsidRPr="005C70B8">
              <w:t xml:space="preserve">Two years of an equivalent type of professional financial institution or insurance industry experience. Relevant industry experience varies by position and may </w:t>
            </w:r>
            <w:proofErr w:type="gramStart"/>
            <w:r w:rsidRPr="005C70B8">
              <w:t>include:</w:t>
            </w:r>
            <w:proofErr w:type="gramEnd"/>
            <w:r w:rsidRPr="005C70B8">
              <w:t xml:space="preserve"> financial institution commercial credit analysis/underwriting, commercial lending, loan review, audit, compliance, and risk management; or insurance accounting, internal/external audit, actuarial and risk management; as well as oversight of such functions. </w:t>
            </w:r>
          </w:p>
          <w:p w14:paraId="602E6599" w14:textId="77777777" w:rsidR="00412C1C" w:rsidRDefault="00412C1C" w:rsidP="005C70B8"/>
          <w:p w14:paraId="69D4F42D" w14:textId="77777777" w:rsidR="00412C1C" w:rsidRPr="00412C1C" w:rsidRDefault="00D32164" w:rsidP="005C70B8">
            <w:pPr>
              <w:rPr>
                <w:u w:val="single"/>
              </w:rPr>
            </w:pPr>
            <w:r w:rsidRPr="00412C1C">
              <w:rPr>
                <w:u w:val="single"/>
              </w:rPr>
              <w:t xml:space="preserve">Financial Institution Examiner 10 </w:t>
            </w:r>
          </w:p>
          <w:p w14:paraId="38E2AF0A" w14:textId="77777777" w:rsidR="00412C1C" w:rsidRDefault="00D32164" w:rsidP="005C70B8">
            <w:r w:rsidRPr="005C70B8">
              <w:t xml:space="preserve">Possession of a bachelor’s degree in any major </w:t>
            </w:r>
          </w:p>
          <w:p w14:paraId="22F99AD3" w14:textId="77777777" w:rsidR="00412C1C" w:rsidRDefault="00D32164" w:rsidP="005C70B8">
            <w:r w:rsidRPr="005C70B8">
              <w:t xml:space="preserve">AND </w:t>
            </w:r>
          </w:p>
          <w:p w14:paraId="40305D92" w14:textId="77777777" w:rsidR="00F81196" w:rsidRDefault="00D32164" w:rsidP="005C70B8">
            <w:r w:rsidRPr="005C70B8">
              <w:t xml:space="preserve">One year of professional experience as a financial institution examiner or specialist for a federal financial regulatory agency, FDIC, a Federal Reserve Bank, NCUA, Comptroller of the Currency, other federal or out-of-state financial or insurance regulatory </w:t>
            </w:r>
            <w:proofErr w:type="gramStart"/>
            <w:r w:rsidRPr="005C70B8">
              <w:t>agencies;</w:t>
            </w:r>
            <w:proofErr w:type="gramEnd"/>
            <w:r w:rsidRPr="005C70B8">
              <w:t xml:space="preserve"> </w:t>
            </w:r>
          </w:p>
          <w:p w14:paraId="195DFF31" w14:textId="77777777" w:rsidR="00F81196" w:rsidRDefault="00D32164" w:rsidP="005C70B8">
            <w:r w:rsidRPr="005C70B8">
              <w:t xml:space="preserve">OR </w:t>
            </w:r>
          </w:p>
          <w:p w14:paraId="7F4206BC" w14:textId="77777777" w:rsidR="00F81196" w:rsidRDefault="00D32164" w:rsidP="005C70B8">
            <w:r w:rsidRPr="005C70B8">
              <w:t xml:space="preserve">Three years of an equivalent type of professional financial institution industry experience. Relevant industry experience varies by position and may </w:t>
            </w:r>
            <w:proofErr w:type="gramStart"/>
            <w:r w:rsidRPr="005C70B8">
              <w:t>include:</w:t>
            </w:r>
            <w:proofErr w:type="gramEnd"/>
            <w:r w:rsidRPr="005C70B8">
              <w:t xml:space="preserve"> financial institution commercial credit analysis/underwriting, commercial lending, loan review, audit, compliance, and risk management; or insurance accounting, internal/external audit, actuarial and risk management; as well as oversight of such functions. </w:t>
            </w:r>
          </w:p>
          <w:p w14:paraId="35E514A6" w14:textId="77777777" w:rsidR="00F81196" w:rsidRDefault="00F81196" w:rsidP="005C70B8"/>
          <w:p w14:paraId="53C9A709" w14:textId="77777777" w:rsidR="00B57EE6" w:rsidRPr="00B57EE6" w:rsidRDefault="00D32164" w:rsidP="005C70B8">
            <w:pPr>
              <w:rPr>
                <w:u w:val="single"/>
              </w:rPr>
            </w:pPr>
            <w:r w:rsidRPr="00B57EE6">
              <w:rPr>
                <w:u w:val="single"/>
              </w:rPr>
              <w:t xml:space="preserve">Financial Institution Examiner P11 </w:t>
            </w:r>
          </w:p>
          <w:p w14:paraId="4CE94FAA" w14:textId="77777777" w:rsidR="00B57EE6" w:rsidRDefault="00D32164" w:rsidP="005C70B8">
            <w:r w:rsidRPr="005C70B8">
              <w:t xml:space="preserve">Possession of a bachelor’s degree in any major </w:t>
            </w:r>
          </w:p>
          <w:p w14:paraId="3AE138E5" w14:textId="77777777" w:rsidR="00B57EE6" w:rsidRDefault="00D32164" w:rsidP="005C70B8">
            <w:r w:rsidRPr="005C70B8">
              <w:t xml:space="preserve">AND </w:t>
            </w:r>
          </w:p>
          <w:p w14:paraId="5EA96B9A" w14:textId="77777777" w:rsidR="00E335A7" w:rsidRDefault="00D32164" w:rsidP="005C70B8">
            <w:r w:rsidRPr="005C70B8">
              <w:t xml:space="preserve">Two years of experience as a professional financial institution </w:t>
            </w:r>
            <w:proofErr w:type="gramStart"/>
            <w:r w:rsidRPr="005C70B8">
              <w:t>examiner</w:t>
            </w:r>
            <w:r w:rsidR="005C70B8" w:rsidRPr="005C70B8">
              <w:t xml:space="preserve"> r</w:t>
            </w:r>
            <w:proofErr w:type="gramEnd"/>
            <w:r w:rsidR="005C70B8" w:rsidRPr="005C70B8">
              <w:t xml:space="preserve"> or specialist for a federal financial regulatory agency, FDIC, a Federal Reserve Bank, NCUA, Comptroller of the Currency, other federal or out-of-state financial or insurance regulatory </w:t>
            </w:r>
            <w:proofErr w:type="gramStart"/>
            <w:r w:rsidR="005C70B8" w:rsidRPr="005C70B8">
              <w:t>agencies;</w:t>
            </w:r>
            <w:proofErr w:type="gramEnd"/>
            <w:r w:rsidR="005C70B8" w:rsidRPr="005C70B8">
              <w:t xml:space="preserve"> </w:t>
            </w:r>
          </w:p>
          <w:p w14:paraId="0D1B96A3" w14:textId="77777777" w:rsidR="00E335A7" w:rsidRDefault="005C70B8" w:rsidP="005C70B8">
            <w:r w:rsidRPr="005C70B8">
              <w:t xml:space="preserve">OR </w:t>
            </w:r>
          </w:p>
          <w:p w14:paraId="7B2854DA" w14:textId="2491EC1B" w:rsidR="00D32164" w:rsidRPr="005C70B8" w:rsidRDefault="005C70B8" w:rsidP="005C70B8">
            <w:r w:rsidRPr="005C70B8">
              <w:t xml:space="preserve">Four years of an equivalent type of professional financial institution industry experience. Relevant industry experience varies by position and may </w:t>
            </w:r>
            <w:proofErr w:type="gramStart"/>
            <w:r w:rsidRPr="005C70B8">
              <w:t>include:</w:t>
            </w:r>
            <w:proofErr w:type="gramEnd"/>
            <w:r w:rsidRPr="005C70B8">
              <w:t xml:space="preserve"> financial institution commercial credit analysis/underwriting, commercial lending, loan review, audit, compliance, and risk management; or insurance accounting, internal/external audit, actuarial and risk management; as well as oversight of such functions.</w:t>
            </w:r>
          </w:p>
          <w:p w14:paraId="19C296A1" w14:textId="3803BE08" w:rsidR="00910C2F" w:rsidRPr="00970B53" w:rsidRDefault="00910C2F" w:rsidP="004028E4"/>
        </w:tc>
      </w:tr>
      <w:tr w:rsidR="007F0B73" w:rsidRPr="00970B53" w14:paraId="6E77DDBF" w14:textId="77777777" w:rsidTr="00EF4971">
        <w:trPr>
          <w:trHeight w:val="1605"/>
        </w:trPr>
        <w:tc>
          <w:tcPr>
            <w:tcW w:w="10728" w:type="dxa"/>
          </w:tcPr>
          <w:p w14:paraId="3A8A17FE" w14:textId="77777777" w:rsidR="007F0B73" w:rsidRPr="00970B53" w:rsidRDefault="007F0B73">
            <w:pPr>
              <w:pStyle w:val="CellNumber"/>
            </w:pPr>
            <w:r w:rsidRPr="00970B53">
              <w:t>KNOWLEDGE, SKILLS, AND ABILITIES:</w:t>
            </w:r>
          </w:p>
          <w:p w14:paraId="48093380" w14:textId="77777777" w:rsidR="00562C8F" w:rsidRDefault="00562C8F" w:rsidP="00562C8F">
            <w:pPr>
              <w:rPr>
                <w:rFonts w:ascii="Arial" w:eastAsia="Arial" w:hAnsi="Arial"/>
                <w:color w:val="000000"/>
              </w:rPr>
            </w:pPr>
          </w:p>
          <w:p w14:paraId="6B62529F" w14:textId="718C7B4E" w:rsidR="00562C8F" w:rsidRPr="00562C8F" w:rsidRDefault="00562C8F" w:rsidP="00562C8F">
            <w:pPr>
              <w:pStyle w:val="ListParagraph"/>
              <w:numPr>
                <w:ilvl w:val="0"/>
                <w:numId w:val="27"/>
              </w:numPr>
            </w:pPr>
            <w:r w:rsidRPr="00562C8F">
              <w:rPr>
                <w:rFonts w:eastAsia="Arial"/>
                <w:color w:val="000000"/>
              </w:rPr>
              <w:t>Position requires tact and professional diplomacy in dealing with sensitive matters relating to financial institutions regulation.</w:t>
            </w:r>
          </w:p>
          <w:p w14:paraId="18EB1066" w14:textId="77777777" w:rsidR="007F0B73" w:rsidRPr="004E3E13" w:rsidRDefault="00562C8F" w:rsidP="00562C8F">
            <w:pPr>
              <w:pStyle w:val="CellText"/>
              <w:numPr>
                <w:ilvl w:val="0"/>
                <w:numId w:val="27"/>
              </w:numPr>
              <w:spacing w:before="40" w:after="0"/>
              <w:ind w:left="806"/>
            </w:pPr>
            <w:r w:rsidRPr="00562C8F">
              <w:rPr>
                <w:rFonts w:eastAsia="Arial"/>
                <w:color w:val="000000"/>
              </w:rPr>
              <w:t>Ability to learn, retain, and apply complex financial theory and statutory requirements and function in a field/group environment with on-the-job supervision.</w:t>
            </w:r>
          </w:p>
          <w:p w14:paraId="1C406BE4" w14:textId="70CA0D89" w:rsidR="00D64F30" w:rsidRPr="00970B53" w:rsidRDefault="00D64F30" w:rsidP="00562C8F">
            <w:pPr>
              <w:pStyle w:val="CellText"/>
              <w:numPr>
                <w:ilvl w:val="0"/>
                <w:numId w:val="27"/>
              </w:numPr>
              <w:spacing w:before="40" w:after="0"/>
              <w:ind w:left="806"/>
            </w:pPr>
            <w:r>
              <w:rPr>
                <w:rFonts w:eastAsia="Arial"/>
                <w:color w:val="000000"/>
              </w:rPr>
              <w:t>Ability to work and communicate effectively with bank management and with state and federal regulators.</w:t>
            </w:r>
          </w:p>
        </w:tc>
      </w:tr>
      <w:tr w:rsidR="007F0B73" w:rsidRPr="00970B53" w14:paraId="4DC965CB" w14:textId="77777777" w:rsidTr="00EF4971">
        <w:trPr>
          <w:trHeight w:val="1596"/>
        </w:trPr>
        <w:tc>
          <w:tcPr>
            <w:tcW w:w="10728" w:type="dxa"/>
          </w:tcPr>
          <w:p w14:paraId="0782D303" w14:textId="77777777" w:rsidR="007F0B73" w:rsidRPr="00970B53" w:rsidRDefault="007F0B73">
            <w:pPr>
              <w:pStyle w:val="CellNumber"/>
            </w:pPr>
            <w:r w:rsidRPr="00970B53">
              <w:t>CERTIFICATES, LICENSES, REGISTRATIONS:</w:t>
            </w:r>
          </w:p>
          <w:p w14:paraId="40E5DFD9" w14:textId="2A234CBA" w:rsidR="007F0B73" w:rsidRPr="00970B53" w:rsidRDefault="000C4E65">
            <w:pPr>
              <w:pStyle w:val="CellText"/>
              <w:spacing w:before="40" w:after="0"/>
            </w:pPr>
            <w:r>
              <w:t>None</w:t>
            </w:r>
          </w:p>
        </w:tc>
      </w:tr>
      <w:tr w:rsidR="007F0B73" w:rsidRPr="00970B53" w14:paraId="0282F8E9" w14:textId="77777777">
        <w:trPr>
          <w:trHeight w:hRule="exact" w:val="240"/>
        </w:trPr>
        <w:tc>
          <w:tcPr>
            <w:tcW w:w="10728" w:type="dxa"/>
          </w:tcPr>
          <w:p w14:paraId="4252EE0B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NOTE:  Civil Service approval of this position does not constitute agreement with or acceptance of the desirable qualifications for this position.</w:t>
            </w:r>
          </w:p>
        </w:tc>
      </w:tr>
      <w:tr w:rsidR="007F0B73" w:rsidRPr="00970B53" w14:paraId="4017856B" w14:textId="77777777" w:rsidTr="00330F4F">
        <w:trPr>
          <w:trHeight w:hRule="exact" w:val="591"/>
        </w:trPr>
        <w:tc>
          <w:tcPr>
            <w:tcW w:w="10728" w:type="dxa"/>
          </w:tcPr>
          <w:p w14:paraId="7593BF1C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0FAED19D" w14:textId="77777777" w:rsidTr="00AA1CE4">
        <w:trPr>
          <w:trHeight w:hRule="exact" w:val="1068"/>
        </w:trPr>
        <w:tc>
          <w:tcPr>
            <w:tcW w:w="10728" w:type="dxa"/>
          </w:tcPr>
          <w:p w14:paraId="6166282B" w14:textId="422DF77E" w:rsidR="007F0B73" w:rsidRPr="005B400B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  <w:rPr>
                <w:u w:val="single"/>
              </w:rPr>
            </w:pPr>
            <w:r w:rsidRPr="005B400B">
              <w:rPr>
                <w:u w:val="single"/>
              </w:rPr>
              <w:tab/>
            </w:r>
            <w:r w:rsidRPr="005B400B">
              <w:rPr>
                <w:u w:val="single"/>
              </w:rPr>
              <w:tab/>
              <w:t xml:space="preserve"> </w:t>
            </w:r>
            <w:r w:rsidRPr="005B400B">
              <w:rPr>
                <w:u w:val="single"/>
              </w:rPr>
              <w:tab/>
            </w:r>
            <w:r w:rsidRPr="005B400B">
              <w:rPr>
                <w:u w:val="single"/>
              </w:rPr>
              <w:tab/>
            </w:r>
          </w:p>
          <w:p w14:paraId="271FF2B5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28913176" w14:textId="77777777" w:rsidTr="00EF4971">
        <w:trPr>
          <w:trHeight w:hRule="exact" w:val="393"/>
        </w:trPr>
        <w:tc>
          <w:tcPr>
            <w:tcW w:w="10728" w:type="dxa"/>
            <w:shd w:val="pct10" w:color="000000" w:fill="FFFFFF"/>
            <w:vAlign w:val="center"/>
          </w:tcPr>
          <w:p w14:paraId="40AC2EEE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3AD98F2E" w14:textId="77777777" w:rsidTr="00931D4B">
        <w:trPr>
          <w:trHeight w:val="1296"/>
        </w:trPr>
        <w:tc>
          <w:tcPr>
            <w:tcW w:w="10728" w:type="dxa"/>
          </w:tcPr>
          <w:p w14:paraId="65233CE7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13E45D3C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611E03CB" w14:textId="77777777" w:rsidTr="00EF4971">
        <w:trPr>
          <w:trHeight w:hRule="exact" w:val="1266"/>
        </w:trPr>
        <w:tc>
          <w:tcPr>
            <w:tcW w:w="10728" w:type="dxa"/>
          </w:tcPr>
          <w:p w14:paraId="47569D05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60D2A354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0BD0B78B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1064442E" w14:textId="77777777" w:rsidTr="00EF4971">
        <w:trPr>
          <w:trHeight w:hRule="exact" w:val="375"/>
        </w:trPr>
        <w:tc>
          <w:tcPr>
            <w:tcW w:w="10728" w:type="dxa"/>
            <w:shd w:val="pct10" w:color="000000" w:fill="FFFFFF"/>
            <w:vAlign w:val="center"/>
          </w:tcPr>
          <w:p w14:paraId="57847AB5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4B72A414" w14:textId="77777777" w:rsidTr="00931D4B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844B1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79902C0A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2AF671A6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080D64A4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NOTE:  Make a copy of this form for your records.</w:t>
      </w:r>
    </w:p>
    <w:sectPr w:rsidR="007F0B73" w:rsidRPr="00970B53" w:rsidSect="00250D34">
      <w:footerReference w:type="default" r:id="rId8"/>
      <w:pgSz w:w="12240" w:h="15840" w:code="1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7C9D" w14:textId="77777777" w:rsidR="003E59D8" w:rsidRDefault="003E59D8">
      <w:r>
        <w:separator/>
      </w:r>
    </w:p>
  </w:endnote>
  <w:endnote w:type="continuationSeparator" w:id="0">
    <w:p w14:paraId="7328F2D9" w14:textId="77777777" w:rsidR="003E59D8" w:rsidRDefault="003E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238" w14:textId="77777777" w:rsidR="00B06DF6" w:rsidRDefault="00B06DF6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754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AE92" w14:textId="77777777" w:rsidR="003E59D8" w:rsidRDefault="003E59D8">
      <w:r>
        <w:separator/>
      </w:r>
    </w:p>
  </w:footnote>
  <w:footnote w:type="continuationSeparator" w:id="0">
    <w:p w14:paraId="70D6B04D" w14:textId="77777777" w:rsidR="003E59D8" w:rsidRDefault="003E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2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FBF0AEB"/>
    <w:multiLevelType w:val="hybridMultilevel"/>
    <w:tmpl w:val="0808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57916">
    <w:abstractNumId w:val="2"/>
  </w:num>
  <w:num w:numId="2" w16cid:durableId="1331836234">
    <w:abstractNumId w:val="11"/>
  </w:num>
  <w:num w:numId="3" w16cid:durableId="212156057">
    <w:abstractNumId w:val="3"/>
  </w:num>
  <w:num w:numId="4" w16cid:durableId="1130048535">
    <w:abstractNumId w:val="19"/>
  </w:num>
  <w:num w:numId="5" w16cid:durableId="444272992">
    <w:abstractNumId w:val="6"/>
  </w:num>
  <w:num w:numId="6" w16cid:durableId="1163352211">
    <w:abstractNumId w:val="4"/>
  </w:num>
  <w:num w:numId="7" w16cid:durableId="1078602502">
    <w:abstractNumId w:val="12"/>
  </w:num>
  <w:num w:numId="8" w16cid:durableId="1138373587">
    <w:abstractNumId w:val="14"/>
  </w:num>
  <w:num w:numId="9" w16cid:durableId="1645818314">
    <w:abstractNumId w:val="17"/>
  </w:num>
  <w:num w:numId="10" w16cid:durableId="1199777653">
    <w:abstractNumId w:val="10"/>
  </w:num>
  <w:num w:numId="11" w16cid:durableId="1679312771">
    <w:abstractNumId w:val="20"/>
  </w:num>
  <w:num w:numId="12" w16cid:durableId="1081758684">
    <w:abstractNumId w:val="21"/>
  </w:num>
  <w:num w:numId="13" w16cid:durableId="1503159238">
    <w:abstractNumId w:val="15"/>
  </w:num>
  <w:num w:numId="14" w16cid:durableId="1717773960">
    <w:abstractNumId w:val="18"/>
  </w:num>
  <w:num w:numId="15" w16cid:durableId="2062825395">
    <w:abstractNumId w:val="26"/>
  </w:num>
  <w:num w:numId="16" w16cid:durableId="31270981">
    <w:abstractNumId w:val="25"/>
  </w:num>
  <w:num w:numId="17" w16cid:durableId="458383833">
    <w:abstractNumId w:val="16"/>
  </w:num>
  <w:num w:numId="18" w16cid:durableId="4525774">
    <w:abstractNumId w:val="22"/>
  </w:num>
  <w:num w:numId="19" w16cid:durableId="688413223">
    <w:abstractNumId w:val="13"/>
  </w:num>
  <w:num w:numId="20" w16cid:durableId="1620993340">
    <w:abstractNumId w:val="5"/>
  </w:num>
  <w:num w:numId="21" w16cid:durableId="1813786352">
    <w:abstractNumId w:val="9"/>
  </w:num>
  <w:num w:numId="22" w16cid:durableId="1508670488">
    <w:abstractNumId w:val="1"/>
  </w:num>
  <w:num w:numId="23" w16cid:durableId="176383574">
    <w:abstractNumId w:val="24"/>
  </w:num>
  <w:num w:numId="24" w16cid:durableId="735519088">
    <w:abstractNumId w:val="7"/>
  </w:num>
  <w:num w:numId="25" w16cid:durableId="262156462">
    <w:abstractNumId w:val="28"/>
  </w:num>
  <w:num w:numId="26" w16cid:durableId="1340235119">
    <w:abstractNumId w:val="27"/>
  </w:num>
  <w:num w:numId="27" w16cid:durableId="1041369910">
    <w:abstractNumId w:val="23"/>
  </w:num>
  <w:num w:numId="28" w16cid:durableId="1473055071">
    <w:abstractNumId w:val="8"/>
  </w:num>
  <w:num w:numId="29" w16cid:durableId="1345325621">
    <w:abstractNumId w:val="29"/>
  </w:num>
  <w:num w:numId="30" w16cid:durableId="1288855155">
    <w:abstractNumId w:val="0"/>
  </w:num>
  <w:num w:numId="31" w16cid:durableId="15896524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9A"/>
    <w:rsid w:val="0000198B"/>
    <w:rsid w:val="00004B4B"/>
    <w:rsid w:val="00031CEC"/>
    <w:rsid w:val="000340F3"/>
    <w:rsid w:val="00047114"/>
    <w:rsid w:val="00073B1F"/>
    <w:rsid w:val="00091997"/>
    <w:rsid w:val="000928F1"/>
    <w:rsid w:val="000A0C7C"/>
    <w:rsid w:val="000A5172"/>
    <w:rsid w:val="000B060D"/>
    <w:rsid w:val="000C2F0B"/>
    <w:rsid w:val="000C3FE5"/>
    <w:rsid w:val="000C4E65"/>
    <w:rsid w:val="000C5B65"/>
    <w:rsid w:val="000C7777"/>
    <w:rsid w:val="000D18CF"/>
    <w:rsid w:val="00117273"/>
    <w:rsid w:val="001222A7"/>
    <w:rsid w:val="001330E5"/>
    <w:rsid w:val="00137D29"/>
    <w:rsid w:val="00142C0E"/>
    <w:rsid w:val="00157D2D"/>
    <w:rsid w:val="00184CDF"/>
    <w:rsid w:val="0018527A"/>
    <w:rsid w:val="00196612"/>
    <w:rsid w:val="001A0D76"/>
    <w:rsid w:val="001B0D1D"/>
    <w:rsid w:val="001B3028"/>
    <w:rsid w:val="001B4012"/>
    <w:rsid w:val="001B720B"/>
    <w:rsid w:val="001D2387"/>
    <w:rsid w:val="001D527C"/>
    <w:rsid w:val="001D5BDC"/>
    <w:rsid w:val="001E4D77"/>
    <w:rsid w:val="00201469"/>
    <w:rsid w:val="00211A92"/>
    <w:rsid w:val="00225513"/>
    <w:rsid w:val="00250D34"/>
    <w:rsid w:val="0025300C"/>
    <w:rsid w:val="00265F4A"/>
    <w:rsid w:val="002A18A0"/>
    <w:rsid w:val="002B1322"/>
    <w:rsid w:val="002C0839"/>
    <w:rsid w:val="002D5623"/>
    <w:rsid w:val="002E3AC2"/>
    <w:rsid w:val="002E79D4"/>
    <w:rsid w:val="002F41E9"/>
    <w:rsid w:val="002F5CDE"/>
    <w:rsid w:val="003039D2"/>
    <w:rsid w:val="003165E8"/>
    <w:rsid w:val="00323A0A"/>
    <w:rsid w:val="00330F4F"/>
    <w:rsid w:val="00332D22"/>
    <w:rsid w:val="00341211"/>
    <w:rsid w:val="00355F06"/>
    <w:rsid w:val="00374C32"/>
    <w:rsid w:val="0037509C"/>
    <w:rsid w:val="003A1CFA"/>
    <w:rsid w:val="003E59D8"/>
    <w:rsid w:val="003F69AE"/>
    <w:rsid w:val="004028E4"/>
    <w:rsid w:val="00412C1C"/>
    <w:rsid w:val="00414B59"/>
    <w:rsid w:val="00422976"/>
    <w:rsid w:val="00431E9C"/>
    <w:rsid w:val="00432B3C"/>
    <w:rsid w:val="0043674C"/>
    <w:rsid w:val="0045162E"/>
    <w:rsid w:val="00467549"/>
    <w:rsid w:val="004B1B31"/>
    <w:rsid w:val="004B55DD"/>
    <w:rsid w:val="004C2F55"/>
    <w:rsid w:val="004D4FE9"/>
    <w:rsid w:val="004D7FFB"/>
    <w:rsid w:val="004E3E13"/>
    <w:rsid w:val="004E5015"/>
    <w:rsid w:val="00500233"/>
    <w:rsid w:val="005471D5"/>
    <w:rsid w:val="005476C0"/>
    <w:rsid w:val="0055119A"/>
    <w:rsid w:val="00551986"/>
    <w:rsid w:val="00562C8F"/>
    <w:rsid w:val="0057715A"/>
    <w:rsid w:val="00594AD9"/>
    <w:rsid w:val="005B0C17"/>
    <w:rsid w:val="005B207F"/>
    <w:rsid w:val="005B238B"/>
    <w:rsid w:val="005B400B"/>
    <w:rsid w:val="005C70B8"/>
    <w:rsid w:val="005E5868"/>
    <w:rsid w:val="005E59C1"/>
    <w:rsid w:val="005F6DC0"/>
    <w:rsid w:val="006002D4"/>
    <w:rsid w:val="006100F7"/>
    <w:rsid w:val="00617525"/>
    <w:rsid w:val="00634F32"/>
    <w:rsid w:val="00667744"/>
    <w:rsid w:val="006766E0"/>
    <w:rsid w:val="006A27DB"/>
    <w:rsid w:val="006A3E76"/>
    <w:rsid w:val="006C78A8"/>
    <w:rsid w:val="006D4662"/>
    <w:rsid w:val="006E172E"/>
    <w:rsid w:val="006F2600"/>
    <w:rsid w:val="0070274E"/>
    <w:rsid w:val="00721DF5"/>
    <w:rsid w:val="00740B11"/>
    <w:rsid w:val="00794386"/>
    <w:rsid w:val="007C08FA"/>
    <w:rsid w:val="007C7EB1"/>
    <w:rsid w:val="007F0B73"/>
    <w:rsid w:val="007F1A81"/>
    <w:rsid w:val="007F6B0F"/>
    <w:rsid w:val="007F7C0F"/>
    <w:rsid w:val="008332C2"/>
    <w:rsid w:val="008432A7"/>
    <w:rsid w:val="0086115A"/>
    <w:rsid w:val="00881C5E"/>
    <w:rsid w:val="00884371"/>
    <w:rsid w:val="0089491C"/>
    <w:rsid w:val="008A5B45"/>
    <w:rsid w:val="008D1DB2"/>
    <w:rsid w:val="008D226D"/>
    <w:rsid w:val="008F7BE2"/>
    <w:rsid w:val="00904A92"/>
    <w:rsid w:val="00905EF1"/>
    <w:rsid w:val="00910C2F"/>
    <w:rsid w:val="00931D4B"/>
    <w:rsid w:val="00940076"/>
    <w:rsid w:val="00947D72"/>
    <w:rsid w:val="009567D8"/>
    <w:rsid w:val="00960893"/>
    <w:rsid w:val="009612B2"/>
    <w:rsid w:val="00970B53"/>
    <w:rsid w:val="00975344"/>
    <w:rsid w:val="00977562"/>
    <w:rsid w:val="009A48DE"/>
    <w:rsid w:val="009A5A9A"/>
    <w:rsid w:val="009A68CE"/>
    <w:rsid w:val="009B1E3D"/>
    <w:rsid w:val="009B33B9"/>
    <w:rsid w:val="009C4F20"/>
    <w:rsid w:val="009D626C"/>
    <w:rsid w:val="009E004E"/>
    <w:rsid w:val="009E4134"/>
    <w:rsid w:val="009F4EA7"/>
    <w:rsid w:val="00A22209"/>
    <w:rsid w:val="00A24B0F"/>
    <w:rsid w:val="00A6472F"/>
    <w:rsid w:val="00A81FD4"/>
    <w:rsid w:val="00AA1CE4"/>
    <w:rsid w:val="00AB299D"/>
    <w:rsid w:val="00AC5559"/>
    <w:rsid w:val="00AE3EBA"/>
    <w:rsid w:val="00B05111"/>
    <w:rsid w:val="00B06DF6"/>
    <w:rsid w:val="00B12834"/>
    <w:rsid w:val="00B15EF9"/>
    <w:rsid w:val="00B3223F"/>
    <w:rsid w:val="00B57EE6"/>
    <w:rsid w:val="00B667ED"/>
    <w:rsid w:val="00B70EE8"/>
    <w:rsid w:val="00B76A86"/>
    <w:rsid w:val="00B817E5"/>
    <w:rsid w:val="00B95798"/>
    <w:rsid w:val="00B95C6A"/>
    <w:rsid w:val="00BB5D37"/>
    <w:rsid w:val="00BC2346"/>
    <w:rsid w:val="00BD1C27"/>
    <w:rsid w:val="00BD5957"/>
    <w:rsid w:val="00BD5C3D"/>
    <w:rsid w:val="00BE02E8"/>
    <w:rsid w:val="00BE54AE"/>
    <w:rsid w:val="00BE68AD"/>
    <w:rsid w:val="00BE7B3C"/>
    <w:rsid w:val="00BF759C"/>
    <w:rsid w:val="00C46544"/>
    <w:rsid w:val="00C63454"/>
    <w:rsid w:val="00C81424"/>
    <w:rsid w:val="00C91308"/>
    <w:rsid w:val="00C92CD6"/>
    <w:rsid w:val="00CB4D53"/>
    <w:rsid w:val="00CB6659"/>
    <w:rsid w:val="00CF1DE1"/>
    <w:rsid w:val="00CF6A5E"/>
    <w:rsid w:val="00D0662F"/>
    <w:rsid w:val="00D1537C"/>
    <w:rsid w:val="00D207E1"/>
    <w:rsid w:val="00D304FB"/>
    <w:rsid w:val="00D32164"/>
    <w:rsid w:val="00D64F30"/>
    <w:rsid w:val="00D720EA"/>
    <w:rsid w:val="00D76EA2"/>
    <w:rsid w:val="00D913AA"/>
    <w:rsid w:val="00DA58FF"/>
    <w:rsid w:val="00DB5EAC"/>
    <w:rsid w:val="00DD70ED"/>
    <w:rsid w:val="00DF1AF1"/>
    <w:rsid w:val="00DF542A"/>
    <w:rsid w:val="00DF7BD9"/>
    <w:rsid w:val="00DF7DAC"/>
    <w:rsid w:val="00E04C68"/>
    <w:rsid w:val="00E05BDC"/>
    <w:rsid w:val="00E05C2E"/>
    <w:rsid w:val="00E12BF4"/>
    <w:rsid w:val="00E335A7"/>
    <w:rsid w:val="00E37E9D"/>
    <w:rsid w:val="00E41DF4"/>
    <w:rsid w:val="00E41F2E"/>
    <w:rsid w:val="00E52CA5"/>
    <w:rsid w:val="00E52DE6"/>
    <w:rsid w:val="00E6461A"/>
    <w:rsid w:val="00E65113"/>
    <w:rsid w:val="00E7323F"/>
    <w:rsid w:val="00E76F2A"/>
    <w:rsid w:val="00E77F41"/>
    <w:rsid w:val="00E926E7"/>
    <w:rsid w:val="00EB1B4B"/>
    <w:rsid w:val="00EB63DA"/>
    <w:rsid w:val="00EC4508"/>
    <w:rsid w:val="00EC7425"/>
    <w:rsid w:val="00ED3CB0"/>
    <w:rsid w:val="00EE0C07"/>
    <w:rsid w:val="00EE5FEC"/>
    <w:rsid w:val="00EF1DBB"/>
    <w:rsid w:val="00EF4971"/>
    <w:rsid w:val="00F05D8C"/>
    <w:rsid w:val="00F07E8D"/>
    <w:rsid w:val="00F272B5"/>
    <w:rsid w:val="00F344C2"/>
    <w:rsid w:val="00F436D6"/>
    <w:rsid w:val="00F64690"/>
    <w:rsid w:val="00F772FC"/>
    <w:rsid w:val="00F81196"/>
    <w:rsid w:val="00F86C03"/>
    <w:rsid w:val="00FC001E"/>
    <w:rsid w:val="00FC3C78"/>
    <w:rsid w:val="00FD2450"/>
    <w:rsid w:val="00FD3415"/>
    <w:rsid w:val="00FD755E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7D36BA"/>
  <w15:chartTrackingRefBased/>
  <w15:docId w15:val="{8B605466-1645-4AE2-BDB2-06DD6B0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uiPriority w:val="1"/>
    <w:qFormat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eParagraph">
    <w:name w:val="Table Paragraph"/>
    <w:basedOn w:val="Normal"/>
    <w:uiPriority w:val="1"/>
    <w:qFormat/>
    <w:rsid w:val="002E3AC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paragraph" w:styleId="ListParagraph">
    <w:name w:val="List Paragraph"/>
    <w:basedOn w:val="Normal"/>
    <w:uiPriority w:val="34"/>
    <w:qFormat/>
    <w:rsid w:val="00562C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7DB"/>
  </w:style>
  <w:style w:type="character" w:customStyle="1" w:styleId="CommentTextChar">
    <w:name w:val="Comment Text Char"/>
    <w:basedOn w:val="DefaultParagraphFont"/>
    <w:link w:val="CommentText"/>
    <w:uiPriority w:val="99"/>
    <w:rsid w:val="006A2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7DB"/>
    <w:rPr>
      <w:b/>
      <w:bCs/>
    </w:rPr>
  </w:style>
  <w:style w:type="paragraph" w:styleId="Revision">
    <w:name w:val="Revision"/>
    <w:hidden/>
    <w:uiPriority w:val="99"/>
    <w:semiHidden/>
    <w:rsid w:val="0067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1781-FA84-4B1D-880D-A0A91737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1995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May, Lori (MCSC)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Garza, Ermelinda (MCSC)</cp:lastModifiedBy>
  <cp:revision>3</cp:revision>
  <cp:lastPrinted>2003-05-27T20:51:00Z</cp:lastPrinted>
  <dcterms:created xsi:type="dcterms:W3CDTF">2025-12-05T19:50:00Z</dcterms:created>
  <dcterms:modified xsi:type="dcterms:W3CDTF">2025-12-05T19:51:00Z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2025-08-05T18:09:58Z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ddba6735-55f0-4be2-88df-4a85574cc640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